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ole_rId1" coordsize="21600,21600" filled="f" stroked="f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before="22" w:lineRule="auto"/>
        <w:ind w:right="56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CHECKLIST SOLICITAÇÃO DE LICITAÇÃO PARA CONTRATAÇÃO DE MÃO DE OBRA COM DEDICAÇÃO EXCLUSIVA (TERCEIRIZADO)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565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6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checklist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tem como finalidade a verificação da documentação que deve ser autuada nos processos de solicitação de licitação para contratação de serviços com dedicação de mão de obra exclusiva (terceirizados).</w:t>
      </w:r>
    </w:p>
    <w:p w:rsidR="00000000" w:rsidDel="00000000" w:rsidP="00000000" w:rsidRDefault="00000000" w:rsidRPr="00000000" w14:paraId="00000005">
      <w:pPr>
        <w:ind w:right="56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numeração da primeira coluna indica a página dos documentos dispostos no processo SGPE. Antes do encaminhamento à SEA, deve-se adicionar este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checklist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preenchido como peça ao respectivo processo.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10.0" w:type="dxa"/>
        <w:tblLayout w:type="fixed"/>
        <w:tblLook w:val="0000"/>
      </w:tblPr>
      <w:tblGrid>
        <w:gridCol w:w="425"/>
        <w:gridCol w:w="7361"/>
        <w:gridCol w:w="851"/>
        <w:gridCol w:w="718"/>
        <w:tblGridChange w:id="0">
          <w:tblGrid>
            <w:gridCol w:w="425"/>
            <w:gridCol w:w="7361"/>
            <w:gridCol w:w="851"/>
            <w:gridCol w:w="718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PROCESSO SGPE Nº. ____ /202X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70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70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Legenda: PÁG. (página do documento no processo SGPE); N/A ( Não se aplica).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N/A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57" w:lineRule="auto"/>
              <w:ind w:right="8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Autuação do Processo – observada abertura no SGP-e com:</w:t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567"/>
                <w:tab w:val="left" w:leader="none" w:pos="851"/>
              </w:tabs>
              <w:spacing w:after="0" w:before="57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Assunto: 1267 – Aquisições e Contratações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85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93 – Processo sobre Contratação de Serviços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9" w:right="85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 de Oficialização da Demanda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 disponível em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https://www.sea.sc.gov.br/licitacoes-e-contratos/portal-de-contratos/servicos-terceirizados/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9" w:right="85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Estudo Técnico Preliminar – ETP,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 disponível em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https://www.sea.sc.gov.br/licitacoes-e-contratos/portal-de-contratos/servicos-terceirizados/.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9" w:right="85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Termo de Referência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contendo a especificação do objeto - conforme modelo disponibilizado no Portal de Contrato/Serviços Terceirizados (https://www.sea.sc.gov.br/licitacoes-e-contratos/portal-de-contratos/servicos-terceirizados/).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34" w:lineRule="auto"/>
              <w:ind w:left="69" w:right="85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85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de inexistência de conflito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entre quadro de servidores com postos solicitados – conforme modelo disponibilizado no Portal de Contrato/Serviços Terceirizados (https://www.sea.sc.gov.br/licitacoes-e-contratos/portal-de-contratos/servicos-terceirizados/).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9" w:right="157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Pedido de Aquisição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preenchido no sistema WebLIC. O campo quantidade deve ser preenchido com o número de postos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multiplicado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pela quantidade de meses do contrato.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69" w:right="16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Ofício do Ordenador de despesa do(a) requisitante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solicitando a abertura de processo licitatório para a Gerência de Contratos (SEA/GECON), com antecedência mínima de 180 dias antes do vencimento do contrato que será substituído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contendo: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89" w:right="16" w:firstLine="0"/>
              <w:jc w:val="left"/>
              <w:rPr>
                <w:rFonts w:ascii="Calibri" w:cs="Calibri" w:eastAsia="Calibri" w:hAnsi="Calibri"/>
                <w:color w:val="44474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746"/>
                <w:sz w:val="20"/>
                <w:szCs w:val="20"/>
                <w:highlight w:val="white"/>
                <w:rtl w:val="0"/>
              </w:rPr>
              <w:t xml:space="preserve">- informações do contrato que a licitação solicitada substituirá (número/ano, valor mensal atualizado, vigência e quadro comparativo dos postos);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89" w:right="16" w:firstLine="0"/>
              <w:jc w:val="left"/>
              <w:rPr>
                <w:rFonts w:ascii="Calibri" w:cs="Calibri" w:eastAsia="Calibri" w:hAnsi="Calibri"/>
                <w:color w:val="44474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746"/>
                <w:sz w:val="20"/>
                <w:szCs w:val="20"/>
                <w:highlight w:val="white"/>
                <w:rtl w:val="0"/>
              </w:rPr>
              <w:t xml:space="preserve">- autorização do titular do órgão.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16" w:firstLine="0"/>
              <w:jc w:val="left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5900" y="3779640"/>
                          <a:ext cx="3220200" cy="7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after="0" w:before="26" w:lineRule="auto"/>
        <w:ind w:right="8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8" w:top="469" w:left="1560" w:right="567" w:header="412" w:footer="3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120" w:line="240" w:lineRule="auto"/>
      <w:ind w:left="2832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197100" cy="5969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71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left" w:leader="none" w:pos="1440"/>
      </w:tabs>
      <w:spacing w:after="0" w:before="0" w:lineRule="auto"/>
      <w:ind w:firstLine="1275.5905511811022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ESTADO DE SANTA CATARINA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5160" cy="6451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28480" y="3462480"/>
                        <a:ext cx="635040" cy="63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5160" cy="64516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160" cy="645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pict>
        <v:shape id="ole_rId1" style="position:absolute;margin-left:-12.375pt;margin-top:-3.75pt;width:57.9pt;height:58.75pt;mso-wrap-distance-left:9.05pt;mso-wrap-distance-right:9.05pt;mso-position-horizontal-relative:margin;mso-position-vertical-relative:text;mso-position-horizontal:absolute;mso-position-vertical:absolute;" filled="t" fillcolor="#FFFFFF" o:ole="" type="_x0000_tole_rId1">
          <v:imagedata r:id="rId1" o:title=""/>
        </v:shape>
        <o:OLEObject DrawAspect="Content" r:id="rId2" ObjectID="_925558845" ProgID="PBrush" ShapeID="ole_rId1" Type="Embed"/>
      </w:pict>
    </w:r>
  </w:p>
  <w:p w:rsidR="00000000" w:rsidDel="00000000" w:rsidP="00000000" w:rsidRDefault="00000000" w:rsidRPr="00000000" w14:paraId="0000003B">
    <w:pPr>
      <w:tabs>
        <w:tab w:val="left" w:leader="none" w:pos="10800"/>
      </w:tabs>
      <w:spacing w:after="0" w:before="0" w:lineRule="auto"/>
      <w:ind w:left="1080" w:firstLine="195.59055118110223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SECRETARIA DE ESTADO DA ADMINISTRAÇÃO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left" w:leader="none" w:pos="10800"/>
      </w:tabs>
      <w:spacing w:after="0" w:before="0" w:lineRule="auto"/>
      <w:ind w:left="1080" w:firstLine="195.59055118110223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DIRETORIA DE GESTÃO DE LICITAÇÕES E CONTRATOS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left" w:leader="none" w:pos="10800"/>
      </w:tabs>
      <w:spacing w:after="0" w:before="0" w:lineRule="auto"/>
      <w:ind w:left="1080" w:firstLine="195.59055118110223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GERÊNCIA DE CONTRATOS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left" w:leader="none" w:pos="10800"/>
      </w:tabs>
      <w:ind w:left="1080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2B9C"/>
    <w:pPr>
      <w:widowControl w:val="1"/>
      <w:bidi w:val="0"/>
      <w:spacing w:after="0" w:before="120"/>
      <w:jc w:val="both"/>
    </w:pPr>
    <w:rPr>
      <w:rFonts w:ascii="Arial" w:cs="Times New Roman" w:eastAsia="Times New Roman" w:hAnsi="Arial"/>
      <w:color w:val="auto"/>
      <w:kern w:val="0"/>
      <w:sz w:val="24"/>
      <w:szCs w:val="24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uiPriority w:val="99"/>
    <w:unhideWhenUsed w:val="1"/>
    <w:rsid w:val="00E31A20"/>
    <w:rPr>
      <w:color w:val="0000ff"/>
      <w:u w:val="single"/>
    </w:rPr>
  </w:style>
  <w:style w:type="character" w:styleId="CorpodetextoChar" w:customStyle="1">
    <w:name w:val="Corpo de texto Char"/>
    <w:link w:val="Corpodetexto"/>
    <w:uiPriority w:val="1"/>
    <w:qFormat w:val="1"/>
    <w:rsid w:val="001A5A60"/>
    <w:rPr>
      <w:rFonts w:ascii="Cambria" w:cs="Cambria" w:eastAsia="Cambria" w:hAnsi="Cambria"/>
      <w:sz w:val="22"/>
      <w:szCs w:val="22"/>
      <w:lang w:bidi="pt-PT" w:eastAsia="pt-PT" w:val="pt-PT"/>
    </w:rPr>
  </w:style>
  <w:style w:type="character" w:styleId="CabealhoChar" w:customStyle="1">
    <w:name w:val="Cabeçalho Char"/>
    <w:link w:val="Cabealho"/>
    <w:uiPriority w:val="99"/>
    <w:qFormat w:val="1"/>
    <w:rsid w:val="001A5A60"/>
    <w:rPr>
      <w:rFonts w:ascii="Arial" w:eastAsia="Times New Roman" w:hAnsi="Arial"/>
      <w:sz w:val="24"/>
      <w:szCs w:val="24"/>
      <w:lang w:eastAsia="pt-BR" w:val="pt-BR"/>
    </w:rPr>
  </w:style>
  <w:style w:type="character" w:styleId="RodapChar" w:customStyle="1">
    <w:name w:val="Rodapé Char"/>
    <w:link w:val="Rodap"/>
    <w:uiPriority w:val="99"/>
    <w:qFormat w:val="1"/>
    <w:rsid w:val="001A5A60"/>
    <w:rPr>
      <w:rFonts w:ascii="Arial" w:eastAsia="Times New Roman" w:hAnsi="Arial"/>
      <w:sz w:val="24"/>
      <w:szCs w:val="24"/>
      <w:lang w:eastAsia="pt-BR" w:val="pt-B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 w:val="1"/>
    <w:rsid w:val="001A5A60"/>
    <w:pPr>
      <w:widowControl w:val="0"/>
      <w:spacing w:after="0" w:before="0"/>
      <w:jc w:val="left"/>
    </w:pPr>
    <w:rPr>
      <w:rFonts w:ascii="Cambria" w:cs="Cambria" w:eastAsia="Cambria" w:hAnsi="Cambria"/>
      <w:sz w:val="22"/>
      <w:szCs w:val="22"/>
      <w:lang w:bidi="pt-PT" w:eastAsia="pt-PT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TableParagraph" w:customStyle="1">
    <w:name w:val="Table Paragraph"/>
    <w:basedOn w:val="Normal"/>
    <w:uiPriority w:val="1"/>
    <w:qFormat w:val="1"/>
    <w:rsid w:val="001A5A60"/>
    <w:pPr>
      <w:widowControl w:val="0"/>
      <w:spacing w:after="0" w:before="0"/>
      <w:jc w:val="left"/>
    </w:pPr>
    <w:rPr>
      <w:rFonts w:ascii="Cambria" w:cs="Cambria" w:eastAsia="Cambria" w:hAnsi="Cambria"/>
      <w:sz w:val="22"/>
      <w:szCs w:val="22"/>
      <w:lang w:bidi="pt-PT" w:eastAsia="pt-PT" w:val="pt-PT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1A5A60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1A5A60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NormalWeb">
    <w:name w:val="Normal (Web)"/>
    <w:basedOn w:val="Normal"/>
    <w:uiPriority w:val="99"/>
    <w:unhideWhenUsed w:val="1"/>
    <w:qFormat w:val="1"/>
    <w:rsid w:val="001A5A60"/>
    <w:pPr>
      <w:spacing w:after="142" w:beforeAutospacing="1" w:line="288" w:lineRule="auto"/>
      <w:jc w:val="left"/>
    </w:pPr>
    <w:rPr>
      <w:rFonts w:ascii="Times New Roman" w:hAnsi="Times New Roman"/>
      <w:color w:val="000000"/>
    </w:rPr>
  </w:style>
  <w:style w:type="paragraph" w:styleId="Standard" w:customStyle="1">
    <w:name w:val="Standard"/>
    <w:qFormat w:val="1"/>
    <w:rsid w:val="00192862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pt-BR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rsid w:val="001A5A60"/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hj0A7TjyjRUnXRF8c3hBB/laQ==">CgMxLjA4AHIhMXM3UklLbFJBVmdPWDRaa09HQmpUekwwV1BLc1RfXzBL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2023-04-12T21:29:00Z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