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Book Antiqua" w:cs="Arial" w:asciiTheme="minorHAnsi" w:hAnsiTheme="minorHAnsi"/>
          <w:b/>
          <w:b/>
          <w:caps/>
          <w:u w:val="single"/>
        </w:rPr>
      </w:pPr>
      <w:r>
        <w:rPr>
          <w:rFonts w:eastAsia="Book Antiqua" w:cs="Arial"/>
          <w:b/>
          <w:caps/>
          <w:u w:val="single"/>
        </w:rPr>
        <w:t>MODELO TERMO DE REFERêNCIA</w:t>
      </w:r>
    </w:p>
    <w:p>
      <w:pPr>
        <w:pStyle w:val="Normal"/>
        <w:rPr>
          <w:rFonts w:ascii="Calibri" w:hAnsi="Calibri" w:eastAsia="Book Antiqua" w:cs="Arial" w:asciiTheme="minorHAnsi" w:hAnsiTheme="minorHAnsi"/>
          <w:b/>
          <w:b/>
          <w:bCs/>
          <w:caps/>
          <w:color w:val="000000"/>
        </w:rPr>
      </w:pPr>
      <w:r>
        <w:rPr>
          <w:rFonts w:eastAsia="Book Antiqua" w:cs="Arial"/>
          <w:b/>
          <w:bCs/>
          <w:caps/>
          <w:color w:val="000000"/>
        </w:rPr>
        <w:t>Nome do órgão Requisitante:</w:t>
      </w:r>
    </w:p>
    <w:p>
      <w:pPr>
        <w:pStyle w:val="Normal"/>
        <w:rPr>
          <w:rFonts w:ascii="Calibri" w:hAnsi="Calibri" w:eastAsia="Book Antiqua" w:cs="Arial" w:asciiTheme="minorHAnsi" w:hAnsiTheme="minorHAnsi"/>
          <w:b/>
          <w:b/>
          <w:bCs/>
          <w:caps/>
          <w:color w:val="000000"/>
        </w:rPr>
      </w:pPr>
      <w:r>
        <w:rPr>
          <w:rFonts w:eastAsia="Book Antiqua" w:cs="Arial"/>
          <w:b/>
          <w:bCs/>
          <w:caps/>
          <w:color w:val="000000"/>
        </w:rPr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before="240" w:after="240"/>
        <w:ind w:left="0" w:hanging="0"/>
        <w:jc w:val="both"/>
        <w:rPr>
          <w:rFonts w:ascii="Calibri" w:hAnsi="Calibri" w:cs="Arial" w:asciiTheme="minorHAnsi" w:hAnsiTheme="minorHAnsi"/>
          <w:bCs/>
          <w:i/>
          <w:i/>
          <w:sz w:val="22"/>
          <w:szCs w:val="22"/>
          <w:shd w:fill="C0C0C0" w:val="clear"/>
        </w:rPr>
      </w:pPr>
      <w:r>
        <w:rPr>
          <w:rFonts w:cs="Arial" w:ascii="Calibri" w:hAnsi="Calibri" w:asciiTheme="minorHAnsi" w:hAnsiTheme="minorHAnsi"/>
          <w:b/>
          <w:bCs/>
          <w:sz w:val="22"/>
          <w:szCs w:val="22"/>
        </w:rPr>
        <w:t>DO OBJETO</w:t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426" w:leader="none"/>
        </w:tabs>
        <w:spacing w:before="240" w:after="240"/>
        <w:ind w:left="0" w:hanging="11"/>
        <w:jc w:val="both"/>
        <w:rPr>
          <w:rFonts w:ascii="Calibri" w:hAnsi="Calibri" w:cs="Arial" w:asciiTheme="minorHAnsi" w:hAnsiTheme="minorHAnsi"/>
          <w:b/>
          <w:b/>
          <w:bCs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bCs/>
          <w:sz w:val="22"/>
          <w:szCs w:val="22"/>
        </w:rPr>
        <w:t xml:space="preserve">Descrição dos postos que serão contratados e quantidades </w:t>
      </w:r>
      <w:r>
        <w:rPr>
          <w:rFonts w:cs="Arial" w:ascii="Calibri" w:hAnsi="Calibri" w:asciiTheme="minorHAnsi" w:hAnsiTheme="minorHAnsi"/>
          <w:b w:val="false"/>
          <w:bCs w:val="false"/>
          <w:color w:val="4472C4" w:themeColor="accent5"/>
          <w:sz w:val="22"/>
          <w:szCs w:val="22"/>
        </w:rPr>
        <w:t>(a IN SEA 002/2020 alterada pela IN SEA 15/2021 e IN SEA 09/2022 traz a relação de postos e suas atribuições)</w:t>
      </w:r>
    </w:p>
    <w:tbl>
      <w:tblPr>
        <w:tblW w:w="936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1"/>
        <w:gridCol w:w="2269"/>
        <w:gridCol w:w="4677"/>
        <w:gridCol w:w="1429"/>
      </w:tblGrid>
      <w:tr>
        <w:trPr>
          <w:trHeight w:val="26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GRUPO CLASSE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NOMENCLATURA DO POSTO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QUANTIDADE</w:t>
            </w:r>
          </w:p>
        </w:tc>
      </w:tr>
      <w:tr>
        <w:trPr>
          <w:trHeight w:val="386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Calibri" w:hAnsi="Calibri" w:cs="Times New Roman" w:asciiTheme="minorHAnsi" w:hAnsiTheme="minorHAnsi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</w:tr>
      <w:tr>
        <w:trPr>
          <w:trHeight w:val="39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Calibri" w:hAnsi="Calibri" w:cs="Times New Roman" w:asciiTheme="minorHAnsi" w:hAnsiTheme="minorHAnsi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</w:tr>
      <w:tr>
        <w:trPr>
          <w:trHeight w:val="386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Calibri" w:hAnsi="Calibri" w:cs="Times New Roman" w:asciiTheme="minorHAnsi" w:hAnsiTheme="minorHAnsi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</w:tr>
      <w:tr>
        <w:trPr>
          <w:trHeight w:val="39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Calibri" w:hAnsi="Calibri" w:cs="Times New Roman" w:asciiTheme="minorHAnsi" w:hAnsiTheme="minorHAnsi"/>
                <w:color w:val="000000"/>
              </w:rPr>
            </w:pPr>
            <w:r>
              <w:rPr>
                <w:rFonts w:cs="Times New Roman"/>
                <w:color w:val="000000"/>
              </w:rPr>
              <w:t>...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Times New Roman" w:asciiTheme="minorHAnsi" w:hAnsiTheme="minorHAnsi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</w:r>
          </w:p>
        </w:tc>
      </w:tr>
    </w:tbl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color w:val="FF0000"/>
          <w:sz w:val="22"/>
          <w:szCs w:val="22"/>
        </w:rPr>
      </w:pPr>
      <w:r>
        <w:rPr>
          <w:rFonts w:cs="Arial" w:ascii="Calibri" w:hAnsi="Calibri"/>
          <w:color w:val="FF0000"/>
          <w:sz w:val="22"/>
          <w:szCs w:val="22"/>
        </w:rPr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426" w:leader="none"/>
        </w:tabs>
        <w:spacing w:before="240" w:after="240"/>
        <w:ind w:left="0" w:hanging="11"/>
        <w:jc w:val="both"/>
        <w:rPr>
          <w:rFonts w:ascii="Calibri" w:hAnsi="Calibri" w:cs="Arial" w:asciiTheme="minorHAnsi" w:hAnsiTheme="minorHAnsi"/>
          <w:bCs/>
          <w:sz w:val="22"/>
          <w:szCs w:val="22"/>
        </w:rPr>
      </w:pPr>
      <w:r>
        <w:rPr>
          <w:rFonts w:cs="Arial" w:ascii="Calibri" w:hAnsi="Calibri" w:asciiTheme="minorHAnsi" w:hAnsiTheme="minorHAnsi"/>
          <w:bCs/>
          <w:sz w:val="22"/>
          <w:szCs w:val="22"/>
        </w:rPr>
        <w:t>Os serviços deverão ser prestados nos endereços e horários abaixo: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0"/>
        <w:gridCol w:w="4649"/>
        <w:gridCol w:w="1295"/>
        <w:gridCol w:w="1087"/>
        <w:gridCol w:w="1585"/>
      </w:tblGrid>
      <w:tr>
        <w:trPr>
          <w:trHeight w:val="40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0"/>
              <w:jc w:val="center"/>
              <w:rPr>
                <w:rFonts w:ascii="Calibri" w:hAnsi="Calibri" w:cs="Arial" w:asciiTheme="minorHAnsi" w:hAnsiTheme="minorHAnsi"/>
                <w:bCs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0"/>
              <w:jc w:val="center"/>
              <w:rPr>
                <w:rFonts w:ascii="Calibri" w:hAnsi="Calibri" w:cs="Arial" w:asciiTheme="minorHAnsi" w:hAnsiTheme="minorHAnsi"/>
                <w:bCs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Cs/>
                <w:sz w:val="20"/>
                <w:szCs w:val="20"/>
              </w:rPr>
              <w:t>ENDEREÇO DE PRESTAÇÃO DO SERVIÇO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spacing w:beforeAutospacing="1" w:after="0"/>
              <w:jc w:val="center"/>
              <w:rPr>
                <w:rFonts w:ascii="Calibri" w:hAnsi="Calibri" w:cs="Arial" w:asciiTheme="minorHAnsi" w:hAnsiTheme="minorHAnsi"/>
                <w:bCs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Cs/>
                <w:sz w:val="20"/>
                <w:szCs w:val="20"/>
              </w:rPr>
              <w:t>CARGA HORÁRIA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Autospacing="1" w:after="0"/>
              <w:jc w:val="center"/>
              <w:rPr>
                <w:rFonts w:ascii="Calibri" w:hAnsi="Calibri" w:cs="Arial" w:asciiTheme="minorHAnsi" w:hAnsiTheme="minorHAnsi"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Cs/>
                <w:sz w:val="20"/>
                <w:szCs w:val="20"/>
              </w:rPr>
              <w:t>DIAS DA SEMANA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0"/>
              <w:jc w:val="center"/>
              <w:rPr>
                <w:rFonts w:ascii="Calibri" w:hAnsi="Calibri" w:cs="Arial" w:asciiTheme="minorHAnsi" w:hAnsiTheme="minorHAnsi"/>
                <w:bCs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Cs/>
                <w:sz w:val="20"/>
                <w:szCs w:val="20"/>
              </w:rPr>
              <w:t>HORÁRIO DE TRABALHO</w:t>
            </w:r>
          </w:p>
        </w:tc>
      </w:tr>
      <w:tr>
        <w:trPr>
          <w:trHeight w:val="28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12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120"/>
              <w:rPr>
                <w:rFonts w:ascii="Calibri" w:hAnsi="Calibri" w:cs="Arial" w:asciiTheme="minorHAnsi" w:hAnsiTheme="minorHAnsi"/>
                <w:bCs/>
                <w:sz w:val="22"/>
                <w:szCs w:val="22"/>
                <w:highlight w:val="lightGray"/>
              </w:rPr>
            </w:pPr>
            <w:r>
              <w:rPr>
                <w:rFonts w:cs="Arial" w:ascii="Calibri" w:hAnsi="Calibri"/>
                <w:bCs/>
                <w:sz w:val="22"/>
                <w:szCs w:val="22"/>
                <w:highlight w:val="lightGray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spacing w:beforeAutospacing="1" w:after="120"/>
              <w:rPr>
                <w:rFonts w:ascii="Calibri" w:hAnsi="Calibri" w:cs="Arial" w:asciiTheme="minorHAnsi" w:hAnsiTheme="minorHAnsi"/>
                <w:bCs/>
                <w:sz w:val="22"/>
                <w:szCs w:val="22"/>
                <w:highlight w:val="yellow"/>
              </w:rPr>
            </w:pPr>
            <w:r>
              <w:rPr>
                <w:rFonts w:cs="Arial" w:ascii="Calibri" w:hAnsi="Calibri"/>
                <w:bCs/>
                <w:sz w:val="22"/>
                <w:szCs w:val="22"/>
                <w:highlight w:val="yellow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Autospacing="1" w:after="120"/>
              <w:rPr>
                <w:rFonts w:ascii="Calibri" w:hAnsi="Calibri" w:cs="Arial" w:asciiTheme="minorHAnsi" w:hAnsiTheme="minorHAnsi"/>
                <w:bCs/>
                <w:sz w:val="22"/>
                <w:szCs w:val="22"/>
                <w:highlight w:val="yellow"/>
              </w:rPr>
            </w:pPr>
            <w:r>
              <w:rPr>
                <w:rFonts w:cs="Arial" w:ascii="Calibri" w:hAnsi="Calibri"/>
                <w:bCs/>
                <w:sz w:val="22"/>
                <w:szCs w:val="22"/>
                <w:highlight w:val="yellow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12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sz w:val="22"/>
                <w:szCs w:val="22"/>
              </w:rPr>
              <w:t>__:__ às __:__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12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120"/>
              <w:rPr>
                <w:rFonts w:ascii="Calibri" w:hAnsi="Calibri" w:cs="Arial" w:asciiTheme="minorHAnsi" w:hAnsiTheme="minorHAnsi"/>
                <w:bCs/>
                <w:sz w:val="22"/>
                <w:szCs w:val="22"/>
                <w:highlight w:val="lightGray"/>
              </w:rPr>
            </w:pPr>
            <w:r>
              <w:rPr>
                <w:rFonts w:cs="Arial" w:ascii="Calibri" w:hAnsi="Calibri"/>
                <w:bCs/>
                <w:sz w:val="22"/>
                <w:szCs w:val="22"/>
                <w:highlight w:val="lightGray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spacing w:beforeAutospacing="1" w:after="120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Cs/>
                <w:sz w:val="22"/>
                <w:szCs w:val="22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Autospacing="1" w:after="120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Cs/>
                <w:sz w:val="22"/>
                <w:szCs w:val="22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12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sz w:val="22"/>
                <w:szCs w:val="22"/>
              </w:rPr>
              <w:t>__:__ às __:__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12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120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Cs/>
                <w:sz w:val="22"/>
                <w:szCs w:val="22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spacing w:beforeAutospacing="1" w:after="120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Cs/>
                <w:sz w:val="22"/>
                <w:szCs w:val="22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Autospacing="1" w:after="120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Cs/>
                <w:sz w:val="22"/>
                <w:szCs w:val="22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Autospacing="1" w:after="12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sz w:val="22"/>
                <w:szCs w:val="22"/>
              </w:rPr>
              <w:t>__:__ às __:__</w:t>
            </w:r>
          </w:p>
        </w:tc>
      </w:tr>
    </w:tbl>
    <w:p>
      <w:pPr>
        <w:pStyle w:val="Default"/>
        <w:tabs>
          <w:tab w:val="clear" w:pos="708"/>
          <w:tab w:val="left" w:pos="426" w:leader="none"/>
        </w:tabs>
        <w:spacing w:before="240" w:after="240"/>
        <w:jc w:val="both"/>
        <w:rPr>
          <w:rFonts w:ascii="Calibri" w:hAnsi="Calibri" w:cs="Arial" w:asciiTheme="minorHAnsi" w:hAnsiTheme="minorHAnsi"/>
          <w:bCs/>
          <w:sz w:val="22"/>
          <w:szCs w:val="22"/>
        </w:rPr>
      </w:pPr>
      <w:r>
        <w:rPr>
          <w:rFonts w:cs="Arial" w:ascii="Calibri" w:hAnsi="Calibri" w:asciiTheme="minorHAnsi" w:hAnsiTheme="minorHAnsi"/>
          <w:bCs/>
          <w:sz w:val="22"/>
          <w:szCs w:val="22"/>
        </w:rPr>
        <w:t>Os horários poderão sofrer alterações para melhor atendimento das necessidades da Administração, desde que comunicados com antecedência à contratada.</w:t>
      </w:r>
    </w:p>
    <w:p>
      <w:pPr>
        <w:pStyle w:val="Default"/>
        <w:spacing w:before="240" w:after="240"/>
        <w:ind w:left="720" w:hanging="0"/>
        <w:jc w:val="both"/>
        <w:rPr>
          <w:rFonts w:ascii="Calibri" w:hAnsi="Calibri" w:cs="Arial" w:asciiTheme="minorHAnsi" w:hAnsiTheme="minorHAnsi"/>
          <w:bCs/>
          <w:sz w:val="22"/>
          <w:szCs w:val="22"/>
        </w:rPr>
      </w:pPr>
      <w:r>
        <w:rPr>
          <w:rFonts w:cs="Arial" w:ascii="Calibri" w:hAnsi="Calibri"/>
          <w:bCs/>
          <w:sz w:val="22"/>
          <w:szCs w:val="22"/>
        </w:rPr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240"/>
        <w:ind w:left="0" w:hanging="0"/>
        <w:jc w:val="both"/>
        <w:rPr>
          <w:rFonts w:ascii="Calibri" w:hAnsi="Calibri" w:cs="Arial" w:asciiTheme="minorHAnsi" w:hAnsiTheme="minorHAnsi"/>
          <w:bCs/>
          <w:i/>
          <w:i/>
          <w:sz w:val="22"/>
          <w:szCs w:val="22"/>
          <w:shd w:fill="C0C0C0" w:val="clear"/>
        </w:rPr>
      </w:pPr>
      <w:r>
        <w:rPr>
          <w:rFonts w:cs="Arial" w:ascii="Calibri" w:hAnsi="Calibri" w:asciiTheme="minorHAnsi" w:hAnsiTheme="minorHAnsi"/>
          <w:b/>
          <w:bCs/>
          <w:sz w:val="22"/>
          <w:szCs w:val="22"/>
        </w:rPr>
        <w:t>JUSTIFICATIVA E OBJETIVO DA CONTRATAÇÃO:</w:t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426" w:leader="none"/>
        </w:tabs>
        <w:spacing w:before="0" w:after="240"/>
        <w:ind w:left="0" w:hanging="11"/>
        <w:jc w:val="both"/>
        <w:rPr>
          <w:rFonts w:ascii="Calibri" w:hAnsi="Calibri" w:cs="Arial" w:asciiTheme="minorHAnsi" w:hAnsiTheme="minorHAnsi"/>
          <w:bCs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bCs/>
          <w:color w:val="4472C4" w:themeColor="accent5"/>
          <w:sz w:val="22"/>
          <w:szCs w:val="22"/>
        </w:rPr>
        <w:t>Justificar a contratação.</w:t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426" w:leader="none"/>
        </w:tabs>
        <w:spacing w:before="0" w:after="240"/>
        <w:ind w:left="0" w:hanging="11"/>
        <w:jc w:val="both"/>
        <w:rPr>
          <w:rFonts w:ascii="Calibri" w:hAnsi="Calibri" w:cs="Arial" w:asciiTheme="minorHAnsi" w:hAnsiTheme="minorHAnsi"/>
          <w:bCs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bCs/>
          <w:color w:val="4472C4" w:themeColor="accent5"/>
          <w:sz w:val="22"/>
          <w:szCs w:val="22"/>
        </w:rPr>
        <w:t xml:space="preserve">(quando houver) Contrato que será substituído e vigência 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bCs/>
          <w:color w:val="4472C4" w:themeColor="accent5"/>
          <w:sz w:val="22"/>
          <w:szCs w:val="22"/>
        </w:rPr>
      </w:pPr>
      <w:r>
        <w:rPr>
          <w:rFonts w:cs="Arial" w:ascii="Calibri" w:hAnsi="Calibri"/>
          <w:bCs/>
          <w:color w:val="4472C4" w:themeColor="accent5"/>
          <w:sz w:val="22"/>
          <w:szCs w:val="22"/>
        </w:rPr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240"/>
        <w:ind w:left="0" w:hanging="0"/>
        <w:jc w:val="both"/>
        <w:rPr>
          <w:rFonts w:ascii="Calibri" w:hAnsi="Calibri" w:cs="Arial" w:asciiTheme="minorHAnsi" w:hAnsiTheme="minorHAnsi"/>
          <w:i/>
          <w:i/>
          <w:sz w:val="22"/>
          <w:szCs w:val="22"/>
          <w:shd w:fill="C0C0C0" w:val="clear"/>
        </w:rPr>
      </w:pPr>
      <w:r>
        <w:rPr>
          <w:rFonts w:cs="Arial" w:ascii="Calibri" w:hAnsi="Calibri" w:asciiTheme="minorHAnsi" w:hAnsiTheme="minorHAnsi"/>
          <w:b/>
          <w:bCs/>
          <w:sz w:val="22"/>
          <w:szCs w:val="22"/>
        </w:rPr>
        <w:t xml:space="preserve">DA VISTORIA: </w:t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426" w:leader="none"/>
        </w:tabs>
        <w:spacing w:before="0" w:after="24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A vistoria deverá ser agendada de segunda à sexta-feira, das </w:t>
      </w: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XXXX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horas às </w:t>
      </w: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XXXX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horas, por meio dos canais abaixo:</w:t>
      </w:r>
    </w:p>
    <w:tbl>
      <w:tblPr>
        <w:tblStyle w:val="Tabelacomgrade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9"/>
        <w:gridCol w:w="1986"/>
        <w:gridCol w:w="1983"/>
        <w:gridCol w:w="3085"/>
      </w:tblGrid>
      <w:tr>
        <w:trPr>
          <w:trHeight w:val="270" w:hRule="atLeast"/>
        </w:trPr>
        <w:tc>
          <w:tcPr>
            <w:tcW w:w="2409" w:type="dxa"/>
            <w:tcBorders/>
          </w:tcPr>
          <w:p>
            <w:pPr>
              <w:pStyle w:val="Default"/>
              <w:widowControl w:val="false"/>
              <w:spacing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z w:val="20"/>
                <w:szCs w:val="20"/>
                <w:lang w:val="pt-BR" w:bidi="ar-SA"/>
              </w:rPr>
              <w:t>LOCAL</w:t>
            </w:r>
          </w:p>
        </w:tc>
        <w:tc>
          <w:tcPr>
            <w:tcW w:w="1986" w:type="dxa"/>
            <w:tcBorders/>
          </w:tcPr>
          <w:p>
            <w:pPr>
              <w:pStyle w:val="Default"/>
              <w:widowControl w:val="false"/>
              <w:spacing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z w:val="20"/>
                <w:szCs w:val="20"/>
                <w:lang w:val="pt-BR" w:bidi="ar-SA"/>
              </w:rPr>
              <w:t>RESPONSÁVEL</w:t>
            </w:r>
          </w:p>
        </w:tc>
        <w:tc>
          <w:tcPr>
            <w:tcW w:w="1983" w:type="dxa"/>
            <w:tcBorders/>
          </w:tcPr>
          <w:p>
            <w:pPr>
              <w:pStyle w:val="Default"/>
              <w:widowControl w:val="false"/>
              <w:spacing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z w:val="20"/>
                <w:szCs w:val="20"/>
                <w:lang w:val="pt-BR" w:bidi="ar-SA"/>
              </w:rPr>
              <w:t>TELEFONE</w:t>
            </w:r>
          </w:p>
        </w:tc>
        <w:tc>
          <w:tcPr>
            <w:tcW w:w="3085" w:type="dxa"/>
            <w:tcBorders/>
          </w:tcPr>
          <w:p>
            <w:pPr>
              <w:pStyle w:val="Default"/>
              <w:widowControl w:val="false"/>
              <w:spacing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sz w:val="20"/>
                <w:szCs w:val="20"/>
                <w:lang w:val="pt-BR" w:bidi="ar-SA"/>
              </w:rPr>
              <w:t>E-MAIL</w:t>
            </w:r>
          </w:p>
        </w:tc>
      </w:tr>
      <w:tr>
        <w:trPr>
          <w:trHeight w:val="170" w:hRule="atLeast"/>
        </w:trPr>
        <w:tc>
          <w:tcPr>
            <w:tcW w:w="2409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986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3085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>
          <w:trHeight w:val="170" w:hRule="atLeast"/>
        </w:trPr>
        <w:tc>
          <w:tcPr>
            <w:tcW w:w="2409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986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3085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>
          <w:trHeight w:val="170" w:hRule="atLeast"/>
        </w:trPr>
        <w:tc>
          <w:tcPr>
            <w:tcW w:w="2409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986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3085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</w:tbl>
    <w:p>
      <w:pPr>
        <w:pStyle w:val="Default"/>
        <w:ind w:left="720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Default"/>
        <w:ind w:left="720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Default"/>
        <w:ind w:left="720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240"/>
        <w:ind w:left="0" w:hanging="0"/>
        <w:jc w:val="both"/>
        <w:rPr>
          <w:rFonts w:ascii="Calibri" w:hAnsi="Calibri" w:cs="Arial" w:asciiTheme="minorHAnsi" w:hAnsiTheme="minorHAnsi"/>
          <w:color w:val="FF0000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sz w:val="22"/>
          <w:szCs w:val="22"/>
        </w:rPr>
        <w:t>FORMA DE PRESTAÇÃO DOS SERVIÇOS</w:t>
      </w:r>
    </w:p>
    <w:p>
      <w:pPr>
        <w:pStyle w:val="Default"/>
        <w:numPr>
          <w:ilvl w:val="1"/>
          <w:numId w:val="1"/>
        </w:numPr>
        <w:shd w:val="clear" w:color="auto" w:fill="FFFFFF"/>
        <w:tabs>
          <w:tab w:val="clear" w:pos="708"/>
          <w:tab w:val="left" w:pos="426" w:leader="none"/>
        </w:tabs>
        <w:spacing w:before="0" w:after="240"/>
        <w:ind w:left="0" w:hanging="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Por padrão o edital adotará a descrição das atividades listadas na IN 002/2020 e suas alterações.</w:t>
      </w:r>
    </w:p>
    <w:p>
      <w:pPr>
        <w:pStyle w:val="Default"/>
        <w:numPr>
          <w:ilvl w:val="1"/>
          <w:numId w:val="1"/>
        </w:numPr>
        <w:shd w:val="clear" w:color="auto" w:fill="FFFFFF"/>
        <w:tabs>
          <w:tab w:val="clear" w:pos="708"/>
          <w:tab w:val="left" w:pos="426" w:leader="none"/>
        </w:tabs>
        <w:spacing w:before="0" w:after="240"/>
        <w:ind w:left="0" w:hanging="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Caso a contratação exija alguma particularidade, esse campo poderá ser utilizado para descrever e justificar as atividades de cada posto.</w:t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</w:tabs>
        <w:spacing w:before="0" w:after="240"/>
        <w:ind w:left="0" w:hanging="11"/>
        <w:jc w:val="both"/>
        <w:rPr>
          <w:rFonts w:ascii="Calibri" w:hAnsi="Calibri" w:cs="Arial" w:asciiTheme="minorHAnsi" w:hAnsiTheme="minorHAnsi"/>
          <w:color w:val="FF0000"/>
          <w:sz w:val="22"/>
          <w:szCs w:val="22"/>
        </w:rPr>
      </w:pPr>
      <w:r>
        <w:rPr>
          <w:rFonts w:cs="Arial" w:ascii="Calibri" w:hAnsi="Calibri" w:asciiTheme="minorHAnsi" w:hAnsiTheme="minorHAnsi"/>
          <w:color w:val="000000" w:themeColor="text1"/>
          <w:sz w:val="22"/>
          <w:szCs w:val="22"/>
        </w:rPr>
        <w:t>O item/posto possui intervalo intrajornada? (  ) Sim   (  ) Não</w:t>
      </w:r>
      <w:r>
        <w:rPr>
          <w:rFonts w:cs="Arial" w:ascii="Calibri" w:hAnsi="Calibri" w:asciiTheme="minorHAnsi" w:hAnsiTheme="minorHAnsi"/>
          <w:color w:val="FF0000"/>
          <w:sz w:val="22"/>
          <w:szCs w:val="22"/>
        </w:rPr>
        <w:t>.</w:t>
      </w:r>
    </w:p>
    <w:p>
      <w:pPr>
        <w:pStyle w:val="Default"/>
        <w:tabs>
          <w:tab w:val="clear" w:pos="708"/>
          <w:tab w:val="left" w:pos="284" w:leader="none"/>
          <w:tab w:val="left" w:pos="426" w:leader="none"/>
        </w:tabs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Caso a resposta do item anterior tenha sido positiva, informar se o intervalo será concedido, indenizado ou coberto (se o trabalhador será substituído).</w:t>
      </w:r>
    </w:p>
    <w:p>
      <w:pPr>
        <w:pStyle w:val="Default"/>
        <w:shd w:val="clear" w:color="auto" w:fill="FFFFFF"/>
        <w:spacing w:before="0" w:after="240"/>
        <w:ind w:left="720" w:hanging="0"/>
        <w:jc w:val="both"/>
        <w:rPr>
          <w:rFonts w:ascii="Calibri" w:hAnsi="Calibri" w:cs="Arial" w:asciiTheme="minorHAnsi" w:hAnsiTheme="minorHAnsi"/>
          <w:color w:val="auto"/>
          <w:sz w:val="22"/>
          <w:szCs w:val="22"/>
          <w:shd w:fill="C0C0C0" w:val="clear"/>
        </w:rPr>
      </w:pPr>
      <w:r>
        <w:rPr>
          <w:rFonts w:cs="Arial" w:ascii="Calibri" w:hAnsi="Calibri"/>
          <w:color w:val="000000"/>
          <w:sz w:val="22"/>
          <w:szCs w:val="22"/>
          <w:shd w:fill="C0C0C0" w:val="clear"/>
        </w:rPr>
      </w:r>
    </w:p>
    <w:p>
      <w:pPr>
        <w:pStyle w:val="Default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before="0" w:after="240"/>
        <w:ind w:left="0" w:hanging="0"/>
        <w:jc w:val="both"/>
        <w:rPr>
          <w:rFonts w:ascii="Calibri" w:hAnsi="Calibri" w:cs="Arial" w:asciiTheme="minorHAnsi" w:hAnsiTheme="minorHAnsi"/>
          <w:b/>
          <w:b/>
          <w:bCs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sz w:val="22"/>
          <w:szCs w:val="22"/>
        </w:rPr>
        <w:t>DOS REQUISITOS DOS CARGOS</w:t>
      </w:r>
    </w:p>
    <w:p>
      <w:pPr>
        <w:pStyle w:val="Default"/>
        <w:shd w:val="clear" w:color="auto" w:fill="FFFFFF"/>
        <w:tabs>
          <w:tab w:val="clear" w:pos="708"/>
          <w:tab w:val="left" w:pos="426" w:leader="none"/>
        </w:tabs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color w:val="000000" w:themeColor="text1"/>
          <w:sz w:val="22"/>
          <w:szCs w:val="22"/>
        </w:rPr>
        <w:t>5.1.</w:t>
      </w: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Por padrão o edital adotará os requisitos dos cargos listados na IN 002/2020 e suas alterações.</w:t>
      </w:r>
    </w:p>
    <w:p>
      <w:pPr>
        <w:pStyle w:val="Default"/>
        <w:shd w:val="clear" w:color="auto" w:fill="FFFFFF"/>
        <w:tabs>
          <w:tab w:val="clear" w:pos="708"/>
          <w:tab w:val="left" w:pos="426" w:leader="none"/>
        </w:tabs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color w:val="auto"/>
          <w:sz w:val="22"/>
          <w:szCs w:val="22"/>
        </w:rPr>
        <w:t xml:space="preserve">5.2. </w:t>
      </w: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Caso a contratação exija alguma particularidade, esse campo poderá ser utilizado para descrever e justificar os requisitos necessários.</w:t>
      </w:r>
    </w:p>
    <w:p>
      <w:pPr>
        <w:pStyle w:val="Default"/>
        <w:spacing w:before="120" w:after="120"/>
        <w:ind w:left="720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240"/>
        <w:ind w:left="0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UNIFORMES (QUANDO HOUVER)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color w:val="000000" w:themeColor="text1"/>
          <w:sz w:val="22"/>
          <w:szCs w:val="22"/>
        </w:rPr>
        <w:t>6.1.</w:t>
      </w: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 xml:space="preserve"> Por padrão o edital adotará a identificação dos postos de atividades administrativas apenas por meio de crachás, conforme IN SEA 02/2020 e suas alterações.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Caso haja necessidade de uniforme, esse campo poderá ser utilizado para justificativa .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6.2.Para as demais atividades </w:t>
      </w:r>
      <w:r>
        <w:rPr>
          <w:rFonts w:eastAsia="Times New Roman" w:cs="Arial" w:ascii="Calibri" w:hAnsi="Calibri" w:asciiTheme="minorHAnsi" w:hAnsiTheme="minorHAnsi"/>
          <w:color w:val="4472C4" w:themeColor="accent5"/>
          <w:kern w:val="2"/>
          <w:sz w:val="22"/>
          <w:szCs w:val="22"/>
          <w:lang w:val="pt-BR" w:eastAsia="pt-BR" w:bidi="ar-SA"/>
        </w:rPr>
        <w:t>(elencar os postos que utilizarão uniformes)</w:t>
      </w:r>
      <w:r>
        <w:rPr>
          <w:rFonts w:cs="Arial" w:ascii="Calibri" w:hAnsi="Calibri" w:asciiTheme="minorHAnsi" w:hAnsiTheme="minorHAnsi"/>
          <w:sz w:val="22"/>
          <w:szCs w:val="22"/>
        </w:rPr>
        <w:t>, os uniformes a serem fornecidos pela Contratada a seus empregados deverão ser condizentes com a atividade a ser desempenhada no órgão Contratante, compreendendo peças para todas as estações climáticas do ano, sem qualquer repasse do custo para o empregado, observando o disposto nos itens seguintes: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6.3.O uniforme deverá compreender as seguintes peças do vestuário </w:t>
      </w: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(A listagem abaixo é exemplificativa. O órgão poderá alterar, conforme sua necessidade):</w:t>
      </w:r>
    </w:p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color w:val="2E74B5" w:themeColor="accent1" w:themeShade="bf"/>
          <w:sz w:val="22"/>
          <w:szCs w:val="22"/>
        </w:rPr>
      </w:pPr>
      <w:r>
        <w:rPr>
          <w:rFonts w:cs="Arial" w:ascii="Calibri" w:hAnsi="Calibri" w:asciiTheme="minorHAnsi" w:hAnsiTheme="minorHAnsi"/>
          <w:color w:val="2E74B5" w:themeColor="accent1" w:themeShade="bf"/>
          <w:sz w:val="22"/>
          <w:szCs w:val="22"/>
        </w:rPr>
        <w:t>a) 02 pares de sapatos;</w:t>
      </w:r>
    </w:p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color w:val="2E74B5" w:themeColor="accent1" w:themeShade="bf"/>
          <w:sz w:val="22"/>
          <w:szCs w:val="22"/>
        </w:rPr>
      </w:pPr>
      <w:r>
        <w:rPr>
          <w:rFonts w:cs="Arial" w:ascii="Calibri" w:hAnsi="Calibri" w:asciiTheme="minorHAnsi" w:hAnsiTheme="minorHAnsi"/>
          <w:color w:val="2E74B5" w:themeColor="accent1" w:themeShade="bf"/>
          <w:sz w:val="22"/>
          <w:szCs w:val="22"/>
        </w:rPr>
        <w:t>b) 03 peças camiseta manga curta;</w:t>
      </w:r>
    </w:p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color w:val="2E74B5" w:themeColor="accent1" w:themeShade="bf"/>
          <w:sz w:val="22"/>
          <w:szCs w:val="22"/>
        </w:rPr>
      </w:pPr>
      <w:r>
        <w:rPr>
          <w:rFonts w:cs="Arial" w:ascii="Calibri" w:hAnsi="Calibri" w:asciiTheme="minorHAnsi" w:hAnsiTheme="minorHAnsi"/>
          <w:color w:val="2E74B5" w:themeColor="accent1" w:themeShade="bf"/>
          <w:sz w:val="22"/>
          <w:szCs w:val="22"/>
        </w:rPr>
        <w:t>c) 03 peças camiseta manga longa;</w:t>
      </w:r>
    </w:p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color w:val="2E74B5" w:themeColor="accent1" w:themeShade="bf"/>
          <w:sz w:val="22"/>
          <w:szCs w:val="22"/>
        </w:rPr>
      </w:pPr>
      <w:r>
        <w:rPr>
          <w:rFonts w:cs="Arial" w:ascii="Calibri" w:hAnsi="Calibri" w:asciiTheme="minorHAnsi" w:hAnsiTheme="minorHAnsi"/>
          <w:color w:val="2E74B5" w:themeColor="accent1" w:themeShade="bf"/>
          <w:sz w:val="22"/>
          <w:szCs w:val="22"/>
        </w:rPr>
        <w:t>d) 03 peças calça comprida;</w:t>
      </w:r>
    </w:p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color w:val="2E74B5" w:themeColor="accent1" w:themeShade="bf"/>
          <w:sz w:val="22"/>
          <w:szCs w:val="22"/>
        </w:rPr>
      </w:pPr>
      <w:r>
        <w:rPr>
          <w:rFonts w:cs="Arial" w:ascii="Calibri" w:hAnsi="Calibri" w:asciiTheme="minorHAnsi" w:hAnsiTheme="minorHAnsi"/>
          <w:color w:val="2E74B5" w:themeColor="accent1" w:themeShade="bf"/>
          <w:sz w:val="22"/>
          <w:szCs w:val="22"/>
        </w:rPr>
        <w:t>e) 02 peças blusa de lã ou de acordo com os padrões de uniforme da empresa.</w:t>
      </w:r>
    </w:p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240" w:after="120"/>
        <w:ind w:left="0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EQUIPAMENTOS E FERRAMENTAS A SEREM DISPONIBILIZADOS</w:t>
      </w:r>
    </w:p>
    <w:p>
      <w:pPr>
        <w:pStyle w:val="Default"/>
        <w:spacing w:before="240" w:after="12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cs="Arial" w:ascii="Calibri" w:hAnsi="Calibri" w:asciiTheme="minorHAnsi" w:hAnsiTheme="minorHAnsi"/>
          <w:color w:val="auto"/>
          <w:sz w:val="22"/>
          <w:szCs w:val="22"/>
        </w:rPr>
        <w:t xml:space="preserve">7.1 </w:t>
      </w: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Listar aqui se há necessidade de algum equipamento ou ferramenta específica para a execução do serviço a ser fornecida pela Contratada.</w:t>
      </w:r>
    </w:p>
    <w:p>
      <w:pPr>
        <w:pStyle w:val="Default"/>
        <w:spacing w:before="240" w:after="12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240"/>
        <w:ind w:left="0" w:hanging="0"/>
        <w:jc w:val="both"/>
        <w:rPr>
          <w:rFonts w:ascii="Calibri" w:hAnsi="Calibri" w:eastAsia="Times New Roman" w:cs="Arial" w:asciiTheme="minorHAnsi" w:hAnsiTheme="minorHAnsi"/>
          <w:b/>
          <w:b/>
          <w:color w:val="000000"/>
          <w:kern w:val="2"/>
          <w:sz w:val="22"/>
          <w:szCs w:val="22"/>
          <w:lang w:val="pt-BR" w:eastAsia="pt-BR" w:bidi="ar-SA"/>
        </w:rPr>
      </w:pPr>
      <w:r>
        <w:rPr>
          <w:rFonts w:eastAsia="Times New Roman" w:cs="Arial" w:ascii="Calibri" w:hAnsi="Calibri"/>
          <w:b/>
          <w:color w:val="000000"/>
          <w:kern w:val="2"/>
          <w:sz w:val="22"/>
          <w:szCs w:val="22"/>
          <w:lang w:val="pt-BR" w:eastAsia="pt-BR" w:bidi="ar-SA"/>
        </w:rPr>
        <w:t xml:space="preserve"> </w:t>
      </w:r>
      <w:r>
        <w:rPr>
          <w:rFonts w:eastAsia="Times New Roman" w:cs="Arial" w:ascii="Calibri" w:hAnsi="Calibri"/>
          <w:b/>
          <w:color w:val="000000"/>
          <w:kern w:val="2"/>
          <w:sz w:val="22"/>
          <w:szCs w:val="22"/>
          <w:lang w:val="pt-BR" w:eastAsia="pt-BR" w:bidi="ar-SA"/>
        </w:rPr>
        <w:t>ACOMPANHAMENTO E FISCALIZAÇÃO DO CONTRATO</w:t>
      </w:r>
    </w:p>
    <w:p>
      <w:pPr>
        <w:pStyle w:val="Default"/>
        <w:numPr>
          <w:ilvl w:val="0"/>
          <w:numId w:val="0"/>
        </w:numPr>
        <w:spacing w:before="0" w:after="240"/>
        <w:ind w:left="0" w:hanging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 w:asciiTheme="minorHAnsi" w:hAnsiTheme="minorHAnsi"/>
          <w:b w:val="false"/>
          <w:bCs w:val="false"/>
          <w:color w:val="000000"/>
          <w:kern w:val="2"/>
          <w:sz w:val="22"/>
          <w:szCs w:val="22"/>
          <w:lang w:val="pt-BR" w:eastAsia="pt-BR" w:bidi="ar-SA"/>
        </w:rPr>
        <w:t>8.1</w:t>
      </w:r>
      <w:r>
        <w:rPr>
          <w:rFonts w:eastAsia="Times New Roman" w:cs="Arial" w:ascii="Calibri" w:hAnsi="Calibri" w:asciiTheme="minorHAnsi" w:hAnsiTheme="minorHAnsi"/>
          <w:b/>
          <w:color w:val="000000"/>
          <w:kern w:val="2"/>
          <w:sz w:val="22"/>
          <w:szCs w:val="22"/>
          <w:lang w:val="pt-BR" w:eastAsia="pt-BR" w:bidi="ar-SA"/>
        </w:rPr>
        <w:t xml:space="preserve"> </w:t>
      </w:r>
      <w:r>
        <w:rPr>
          <w:rFonts w:ascii="Calibri" w:hAnsi="Calibri"/>
          <w:sz w:val="22"/>
          <w:szCs w:val="22"/>
        </w:rPr>
        <w:t>A gestão contratual será exercida pela (</w:t>
      </w:r>
      <w:r>
        <w:rPr>
          <w:rFonts w:eastAsia="Times New Roman" w:cs="Arial" w:ascii="Calibri" w:hAnsi="Calibri" w:asciiTheme="minorHAnsi" w:hAnsiTheme="minorHAnsi"/>
          <w:color w:val="4472C4" w:themeColor="accent5"/>
          <w:kern w:val="2"/>
          <w:sz w:val="22"/>
          <w:szCs w:val="22"/>
          <w:lang w:val="pt-BR" w:eastAsia="pt-BR" w:bidi="ar-SA"/>
        </w:rPr>
        <w:t>informar setor que será o responsável pela gestão do contrato)</w:t>
      </w:r>
      <w:r>
        <w:rPr>
          <w:rFonts w:ascii="Calibri" w:hAnsi="Calibri"/>
          <w:sz w:val="22"/>
          <w:szCs w:val="22"/>
        </w:rPr>
        <w:t>, a qual caberá acompanhar a execução do contrato sob os aspectos formais e de repercussão financeira, efetivando as alterações e ajustes inerentes à contratação.</w:t>
      </w:r>
    </w:p>
    <w:p>
      <w:pPr>
        <w:pStyle w:val="Default"/>
        <w:numPr>
          <w:ilvl w:val="0"/>
          <w:numId w:val="0"/>
        </w:numPr>
        <w:spacing w:before="0" w:after="240"/>
        <w:ind w:lef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8.2 A fiscalização contratual será exercida (</w:t>
      </w:r>
      <w:r>
        <w:rPr>
          <w:rFonts w:eastAsia="Times New Roman" w:cs="Arial" w:ascii="Calibri" w:hAnsi="Calibri" w:asciiTheme="minorHAnsi" w:hAnsiTheme="minorHAnsi"/>
          <w:color w:val="4472C4" w:themeColor="accent5"/>
          <w:kern w:val="2"/>
          <w:sz w:val="22"/>
          <w:szCs w:val="22"/>
          <w:lang w:val="pt-BR" w:eastAsia="pt-BR" w:bidi="ar-SA"/>
        </w:rPr>
        <w:t>informar setor que será o responsável pela fiscalização do contrato)</w:t>
      </w:r>
      <w:r>
        <w:rPr>
          <w:rFonts w:ascii="Calibri" w:hAnsi="Calibri"/>
          <w:sz w:val="22"/>
          <w:szCs w:val="22"/>
        </w:rPr>
        <w:t>, o qual caberá acompanhar a execução do contrato sob os aspectos qualitativos e quantitativos, anotando em registro próprio a ocorrência de falhas e de irregularidades que porventura aconteçam, notificando a contratada para regularização e instruindo relatórios fundamentados que visam penalização da contratada.</w:t>
      </w:r>
    </w:p>
    <w:p>
      <w:pPr>
        <w:pStyle w:val="Default"/>
        <w:spacing w:before="0" w:after="240"/>
        <w:ind w:left="0" w:hanging="0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spacing w:before="0" w:after="240"/>
        <w:ind w:left="0" w:hanging="0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PRAZO DE VIGÊNCIA DO CONTRATO</w:t>
      </w:r>
    </w:p>
    <w:p>
      <w:pPr>
        <w:pStyle w:val="Default"/>
        <w:spacing w:before="240" w:after="12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9.1.A vigência do contrato será de 24 (vinte e quatro) meses, contados a partir de sua assinatura. Podendo ter a sua duração prorrogada, nos termos do artigo 57, II, da lei nº 8.666/1993, com vistas à obtenção de preços e condições mais vantajosas para a Administração.</w:t>
      </w:r>
    </w:p>
    <w:p>
      <w:pPr>
        <w:pStyle w:val="Default"/>
        <w:spacing w:before="240" w:after="120"/>
        <w:ind w:left="720" w:hanging="0"/>
        <w:jc w:val="both"/>
        <w:rPr>
          <w:rFonts w:ascii="Calibri" w:hAnsi="Calibri" w:cs="Arial" w:ascii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000000" w:themeColor="text1"/>
          <w:sz w:val="22"/>
          <w:szCs w:val="22"/>
        </w:rPr>
        <w:t>OU</w:t>
      </w:r>
    </w:p>
    <w:p>
      <w:pPr>
        <w:pStyle w:val="Default"/>
        <w:spacing w:before="240" w:after="12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9.2.</w:t>
      </w: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Caso seja do interesse do órgão prazo de vigência do contrato diverso do sugerido no item 9.1 deverá informar, bem como justificar a escolha do mesmo.</w:t>
      </w:r>
    </w:p>
    <w:p>
      <w:pPr>
        <w:pStyle w:val="Default"/>
        <w:spacing w:before="0" w:after="240"/>
        <w:ind w:left="928" w:hanging="0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240"/>
        <w:ind w:left="0" w:hanging="0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ESTIMATIVA DE PREÇOS E PREÇOS REFERÊNCIAIS</w:t>
      </w:r>
    </w:p>
    <w:p>
      <w:pPr>
        <w:pStyle w:val="Default"/>
        <w:spacing w:before="240" w:after="12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10.1. O custo estimado da contratação é de R$ </w:t>
      </w:r>
      <w:r>
        <w:rPr>
          <w:rFonts w:cs="Arial" w:ascii="Calibri" w:hAnsi="Calibri" w:asciiTheme="minorHAnsi" w:hAnsiTheme="minorHAnsi"/>
          <w:color w:val="4472C4" w:themeColor="accent5"/>
          <w:sz w:val="22"/>
          <w:szCs w:val="22"/>
        </w:rPr>
        <w:t>XXX</w:t>
      </w:r>
    </w:p>
    <w:p>
      <w:pPr>
        <w:pStyle w:val="Default"/>
        <w:spacing w:before="240" w:after="12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color w:val="4472C4"/>
          <w:sz w:val="22"/>
          <w:szCs w:val="22"/>
        </w:rPr>
        <w:t xml:space="preserve">-Utilizar para estimativa de preços a tabela de preços de referência constante no </w:t>
      </w:r>
      <w:r>
        <w:rPr>
          <w:rFonts w:cs="Arial" w:ascii="Calibri" w:hAnsi="Calibri" w:asciiTheme="minorHAnsi" w:hAnsiTheme="minorHAnsi"/>
          <w:b/>
          <w:bCs/>
          <w:color w:val="4472C4"/>
          <w:sz w:val="22"/>
          <w:szCs w:val="22"/>
        </w:rPr>
        <w:t>Anexo I</w:t>
      </w:r>
      <w:r>
        <w:rPr>
          <w:rFonts w:cs="Arial" w:ascii="Calibri" w:hAnsi="Calibri" w:asciiTheme="minorHAnsi" w:hAnsiTheme="minorHAnsi"/>
          <w:color w:val="4472C4"/>
          <w:sz w:val="22"/>
          <w:szCs w:val="22"/>
        </w:rPr>
        <w:t xml:space="preserve"> deste documento.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eastAsia="Times New Roman" w:cs="Arial" w:ascii="Calibri" w:hAnsi="Calibri" w:asciiTheme="minorHAnsi" w:hAnsiTheme="minorHAnsi"/>
          <w:b w:val="false"/>
          <w:bCs w:val="false"/>
          <w:i w:val="false"/>
          <w:caps w:val="false"/>
          <w:smallCaps w:val="false"/>
          <w:color w:val="4472C4" w:themeColor="accent5"/>
          <w:spacing w:val="0"/>
          <w:kern w:val="2"/>
          <w:sz w:val="22"/>
          <w:szCs w:val="22"/>
          <w:lang w:val="pt-BR" w:eastAsia="pt-BR"/>
        </w:rPr>
        <w:t>Tendo em vista a IN SEA 13.2022, nos Termos de Referência, bem como nos Pedidos de Aquisição (PA’s) Weblic, orienta-se que sejam utilizados os pre</w:t>
      </w:r>
      <w:r>
        <w:rPr>
          <w:rFonts w:eastAsia="Times New Roman" w:cs="Arial" w:ascii="Calibri" w:hAnsi="Calibri" w:asciiTheme="minorHAnsi" w:hAnsiTheme="minorHAnsi"/>
          <w:b w:val="false"/>
          <w:i w:val="false"/>
          <w:caps w:val="false"/>
          <w:smallCaps w:val="false"/>
          <w:color w:val="4472C4" w:themeColor="accent5"/>
          <w:spacing w:val="0"/>
          <w:kern w:val="2"/>
          <w:sz w:val="22"/>
          <w:szCs w:val="22"/>
          <w:lang w:val="pt-BR" w:eastAsia="pt-BR"/>
        </w:rPr>
        <w:t>ços de referência constantes no Anexo I. Caso o posto pretendido ou sua carga horária não conste na tabela do Anexo I, ele será obtido após análise do processo e Termo de Referência pela</w:t>
      </w:r>
      <w:r>
        <w:rPr>
          <w:rFonts w:eastAsia="Times New Roman" w:cs="Arial" w:ascii="Calibri" w:hAnsi="Calibri" w:asciiTheme="minorHAnsi" w:hAnsiTheme="minorHAnsi"/>
          <w:b w:val="false"/>
          <w:i w:val="false"/>
          <w:caps w:val="false"/>
          <w:smallCaps w:val="false"/>
          <w:color w:val="4472C4" w:themeColor="accent5"/>
          <w:spacing w:val="0"/>
          <w:kern w:val="2"/>
          <w:sz w:val="22"/>
          <w:szCs w:val="22"/>
          <w:lang w:val="pt-BR" w:eastAsia="pt-BR" w:bidi="ar-SA"/>
        </w:rPr>
        <w:t xml:space="preserve"> Gerência de Contratos, da Diretoria de Gestão de Licitações e Contratos. 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eastAsia="Times New Roman" w:cs="Arial" w:ascii="Calibri" w:hAnsi="Calibri" w:asciiTheme="minorHAnsi" w:hAnsiTheme="minorHAnsi"/>
          <w:b w:val="false"/>
          <w:i w:val="false"/>
          <w:caps w:val="false"/>
          <w:smallCaps w:val="false"/>
          <w:color w:val="4472C4" w:themeColor="accent5"/>
          <w:spacing w:val="0"/>
          <w:kern w:val="2"/>
          <w:sz w:val="22"/>
          <w:szCs w:val="22"/>
          <w:lang w:val="pt-BR" w:eastAsia="pt-BR" w:bidi="ar-SA"/>
        </w:rPr>
        <w:t>O valor estimado final para a realização do procedimento licitatório será conforme a Requisição do sistema Weblic. O órgão solicitante da licitação terá ciência do valor estimado máximo da contratação pela Requisição Weblic inserida no processo. A qual fará parte da solicitação ao Grupo Gestor de Governo.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/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FF0000"/>
          <w:sz w:val="22"/>
          <w:szCs w:val="22"/>
        </w:rPr>
      </w:pPr>
      <w:r>
        <w:rPr>
          <w:rFonts w:cs="Arial" w:ascii="Calibri" w:hAnsi="Calibri" w:asciiTheme="minorHAnsi" w:hAnsiTheme="minorHAnsi"/>
          <w:color w:val="auto"/>
          <w:sz w:val="22"/>
          <w:szCs w:val="22"/>
        </w:rPr>
        <w:t>11</w:t>
      </w:r>
      <w:r>
        <w:rPr>
          <w:rFonts w:cs="Arial" w:ascii="Calibri" w:hAnsi="Calibri" w:asciiTheme="minorHAnsi" w:hAnsiTheme="minorHAnsi"/>
          <w:b/>
          <w:color w:val="auto"/>
          <w:sz w:val="22"/>
          <w:szCs w:val="22"/>
        </w:rPr>
        <w:t>. DA DOTAÇÃO ORÇAMENTÁRIA</w:t>
      </w:r>
    </w:p>
    <w:p>
      <w:pPr>
        <w:pStyle w:val="Default"/>
        <w:spacing w:before="240" w:after="12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11.1.Dotação Orçamentária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1"/>
        <w:gridCol w:w="1416"/>
        <w:gridCol w:w="1844"/>
        <w:gridCol w:w="1842"/>
      </w:tblGrid>
      <w:tr>
        <w:trPr>
          <w:trHeight w:val="299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Órgão/Unidade Orçamentária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Natureza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08" w:hanging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Fonte</w:t>
            </w:r>
          </w:p>
        </w:tc>
      </w:tr>
      <w:tr>
        <w:trPr>
          <w:cantSplit w:val="true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 w:asciiTheme="minorHAnsi" w:hAnsiTheme="minorHAnsi"/>
                <w:lang w:eastAsia="pt-BR"/>
              </w:rPr>
            </w:pPr>
            <w:r>
              <w:rPr>
                <w:rFonts w:cs="Arial"/>
                <w:lang w:eastAsia="pt-B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rFonts w:ascii="Calibri" w:hAnsi="Calibri" w:cs="Arial" w:asciiTheme="minorHAnsi" w:hAnsiTheme="minorHAnsi"/>
                <w:shd w:fill="FFFFFF" w:val="clear"/>
              </w:rPr>
            </w:pPr>
            <w:r>
              <w:rPr>
                <w:rFonts w:cs="Arial"/>
                <w:shd w:fill="FFFFFF" w:val="clear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hanging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color w:val="FF0000"/>
          <w:sz w:val="22"/>
          <w:szCs w:val="22"/>
          <w:highlight w:val="lightGray"/>
        </w:rPr>
      </w:pPr>
      <w:r>
        <w:rPr>
          <w:rFonts w:cs="Arial" w:ascii="Calibri" w:hAnsi="Calibri"/>
          <w:color w:val="FF0000"/>
          <w:sz w:val="22"/>
          <w:szCs w:val="22"/>
          <w:highlight w:val="lightGray"/>
        </w:rPr>
      </w:r>
    </w:p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Default"/>
        <w:spacing w:before="0" w:after="240"/>
        <w:ind w:left="720" w:hanging="0"/>
        <w:jc w:val="both"/>
        <w:rPr>
          <w:rFonts w:ascii="Calibri" w:hAnsi="Calibri" w:cs="Arial" w:asciiTheme="minorHAnsi" w:hAnsiTheme="minorHAnsi"/>
          <w:color w:val="FF0000"/>
          <w:sz w:val="22"/>
          <w:szCs w:val="22"/>
        </w:rPr>
      </w:pPr>
      <w:r>
        <w:rPr>
          <w:rFonts w:cs="Arial" w:ascii="Calibri" w:hAnsi="Calibri"/>
          <w:color w:val="FF0000"/>
          <w:sz w:val="22"/>
          <w:szCs w:val="22"/>
        </w:rPr>
      </w:r>
    </w:p>
    <w:p>
      <w:pPr>
        <w:pStyle w:val="Default"/>
        <w:spacing w:before="0" w:after="120"/>
        <w:jc w:val="center"/>
        <w:rPr>
          <w:rFonts w:ascii="Calibri" w:hAnsi="Calibri" w:cs="Arial" w:asciiTheme="minorHAnsi" w:hAnsiTheme="minorHAnsi"/>
          <w:b/>
          <w:b/>
          <w:color w:val="auto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auto"/>
          <w:sz w:val="22"/>
          <w:szCs w:val="22"/>
        </w:rPr>
        <w:t>Local e Data</w:t>
      </w:r>
    </w:p>
    <w:p>
      <w:pPr>
        <w:pStyle w:val="Default"/>
        <w:spacing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auto"/>
          <w:sz w:val="22"/>
          <w:szCs w:val="22"/>
        </w:rPr>
        <w:t>Nome e Assinatura Digital do responsável técnico</w:t>
      </w:r>
    </w:p>
    <w:p>
      <w:pPr>
        <w:pStyle w:val="Default"/>
        <w:spacing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</w:r>
    </w:p>
    <w:p>
      <w:pPr>
        <w:pStyle w:val="Default"/>
        <w:spacing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</w:r>
    </w:p>
    <w:p>
      <w:pPr>
        <w:pStyle w:val="Default"/>
        <w:spacing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</w:r>
    </w:p>
    <w:p>
      <w:pPr>
        <w:pStyle w:val="Default"/>
        <w:spacing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</w:r>
    </w:p>
    <w:p>
      <w:pPr>
        <w:pStyle w:val="Default"/>
        <w:spacing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</w:r>
    </w:p>
    <w:p>
      <w:pPr>
        <w:pStyle w:val="Default"/>
        <w:spacing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</w:r>
      <w:r>
        <w:br w:type="page"/>
      </w:r>
    </w:p>
    <w:p>
      <w:pPr>
        <w:pStyle w:val="Default"/>
        <w:spacing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auto"/>
          <w:sz w:val="22"/>
          <w:szCs w:val="22"/>
        </w:rPr>
        <w:t>ANEXO I</w:t>
      </w:r>
    </w:p>
    <w:p>
      <w:pPr>
        <w:pStyle w:val="Default"/>
        <w:spacing w:before="0" w:after="120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</w:r>
    </w:p>
    <w:p>
      <w:pPr>
        <w:pStyle w:val="Default"/>
        <w:spacing w:before="0" w:after="240"/>
        <w:jc w:val="center"/>
        <w:rPr/>
      </w:pPr>
      <w:r>
        <w:rPr>
          <w:rFonts w:cs="Arial" w:ascii="Calibri" w:hAnsi="Calibri" w:asciiTheme="minorHAnsi" w:hAnsiTheme="minorHAnsi"/>
          <w:b/>
          <w:color w:val="auto"/>
          <w:sz w:val="22"/>
          <w:szCs w:val="22"/>
        </w:rPr>
        <w:t>Tabela de valores de referência máximos para contratação de posto de trabalho</w:t>
        <w:tab/>
        <w:t xml:space="preserve"> 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eastAsia="Times New Roman" w:cs="Arial" w:ascii="Calibri" w:hAnsi="Calibri" w:asciiTheme="minorHAnsi" w:hAnsiTheme="minorHAnsi"/>
          <w:b/>
          <w:color w:val="4472C4" w:themeColor="accent5"/>
          <w:kern w:val="2"/>
          <w:sz w:val="22"/>
          <w:szCs w:val="22"/>
          <w:lang w:val="pt-BR" w:eastAsia="pt-BR"/>
        </w:rPr>
        <w:t xml:space="preserve">Para definição da Estimativa de Preços (item 9 do TR) utilizar o valor da coluna “Preço de referência  estimado” multiplicado pelo número de postos a serem contratados. 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rPr>
          <w:rFonts w:eastAsia="Times New Roman" w:cs="Arial" w:ascii="Calibri" w:hAnsi="Calibri" w:asciiTheme="minorHAnsi" w:hAnsiTheme="minorHAnsi"/>
          <w:b/>
          <w:color w:val="4472C4" w:themeColor="accent5"/>
          <w:kern w:val="2"/>
          <w:sz w:val="22"/>
          <w:szCs w:val="22"/>
          <w:lang w:val="pt-BR" w:eastAsia="pt-BR"/>
        </w:rPr>
        <w:t xml:space="preserve">Estes valores poderão sofrer variação pela DGLC/SEA após análise do Termo de Referência. Foram considerados o ISSQN de 5% e o valor da tarifa de ônibus de Florianópolis. </w:t>
      </w:r>
    </w:p>
    <w:p>
      <w:pPr>
        <w:pStyle w:val="Default"/>
        <w:spacing w:before="0" w:after="240"/>
        <w:jc w:val="both"/>
        <w:rPr>
          <w:rFonts w:ascii="Calibri" w:hAnsi="Calibri" w:cs="Arial" w:asciiTheme="minorHAnsi" w:hAnsiTheme="minorHAnsi"/>
          <w:color w:val="4472C4" w:themeColor="accent5"/>
          <w:sz w:val="22"/>
          <w:szCs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36060" cy="625221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625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 Considera CCT 2022. Tabela referente a planilhas estimativas elaboradas em maio de 2022.</w:t>
      </w:r>
    </w:p>
    <w:sectPr>
      <w:headerReference w:type="default" r:id="rId3"/>
      <w:type w:val="nextPage"/>
      <w:pgSz w:w="11906" w:h="16838"/>
      <w:pgMar w:left="1276" w:right="1274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440" w:leader="none"/>
      </w:tabs>
      <w:snapToGrid w:val="false"/>
      <w:spacing w:lineRule="atLeast" w:line="100" w:before="0" w:after="0"/>
      <w:ind w:firstLine="1080"/>
      <w:rPr/>
    </w:pPr>
    <w:r>
      <w:object w:dxaOrig="1310" w:dyaOrig="1420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20.05pt;margin-top:-4.65pt;width:57.9pt;height:58.75pt;mso-wrap-distance-left:9.05pt;mso-wrap-distance-right:9.05pt;mso-position-horizontal-relative:text;mso-position-vertical-relative:text" filled="t" fillcolor="#FFFFFF" o:ole="">
          <v:imagedata r:id="rId2" o:title=""/>
        </v:shape>
        <o:OLEObject Type="Embed" ProgID="PBrush" ShapeID="ole_rId1" DrawAspect="Content" ObjectID="_1591393233" r:id="rId1"/>
      </w:object>
    </w:r>
    <w:r>
      <w:rPr/>
      <w:t>ESTADO DE SANTA CATARINA</w:t>
    </w:r>
  </w:p>
  <w:p>
    <w:pPr>
      <w:pStyle w:val="Normal"/>
      <w:tabs>
        <w:tab w:val="clear" w:pos="708"/>
        <w:tab w:val="left" w:pos="10800" w:leader="none"/>
      </w:tabs>
      <w:spacing w:lineRule="atLeast" w:line="100" w:before="0" w:after="0"/>
      <w:ind w:left="1080" w:hanging="0"/>
      <w:rPr/>
    </w:pPr>
    <w:r>
      <w:rPr/>
      <w:t>SECRETARIA XXXXXXXXXXXXXXXX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i w:val="false"/>
        <w:b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3b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6b3b00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b65f1"/>
    <w:rPr>
      <w:rFonts w:ascii="Calibri" w:hAnsi="Calibri" w:eastAsia="Calibri" w:cs="Calibri"/>
      <w:color w:val="00000A"/>
      <w:kern w:val="2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b65f1"/>
    <w:rPr>
      <w:rFonts w:ascii="Calibri" w:hAnsi="Calibri" w:eastAsia="Calibri" w:cs="Calibri"/>
      <w:color w:val="00000A"/>
      <w:kern w:val="2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27be6"/>
    <w:rPr>
      <w:rFonts w:ascii="Tahoma" w:hAnsi="Tahoma" w:eastAsia="Calibri" w:cs="Tahoma"/>
      <w:color w:val="00000A"/>
      <w:kern w:val="2"/>
      <w:sz w:val="16"/>
      <w:szCs w:val="16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5d5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4a5d5f"/>
    <w:rPr>
      <w:rFonts w:ascii="Calibri" w:hAnsi="Calibri" w:eastAsia="Calibri" w:cs="Calibri"/>
      <w:color w:val="00000A"/>
      <w:kern w:val="2"/>
      <w:sz w:val="20"/>
      <w:szCs w:val="20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a5d5f"/>
    <w:rPr>
      <w:rFonts w:ascii="Calibri" w:hAnsi="Calibri" w:eastAsia="Calibri" w:cs="Calibri"/>
      <w:b/>
      <w:bCs/>
      <w:color w:val="00000A"/>
      <w:kern w:val="2"/>
      <w:sz w:val="20"/>
      <w:szCs w:val="20"/>
      <w:lang w:eastAsia="zh-C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6b3b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6b3b00"/>
    <w:pPr>
      <w:spacing w:before="0" w:after="200"/>
      <w:ind w:left="720" w:hanging="0"/>
      <w:contextualSpacing/>
    </w:pPr>
    <w:rPr/>
  </w:style>
  <w:style w:type="paragraph" w:styleId="Recuodecorpodetexto31" w:customStyle="1">
    <w:name w:val="Recuo de corpo de texto 31"/>
    <w:basedOn w:val="Normal"/>
    <w:qFormat/>
    <w:rsid w:val="000732fd"/>
    <w:pPr>
      <w:spacing w:lineRule="auto" w:line="240" w:before="0" w:after="0"/>
      <w:ind w:left="567" w:hanging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b65f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b65f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7b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a5d5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a5d5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413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1AFE-1DE3-4FC0-973D-EB59B60D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LibreOffice/7.2.6.2$Windows_X86_64 LibreOffice_project/b0ec3a565991f7569a5a7f5d24fed7f52653d754</Application>
  <AppVersion>15.0000</AppVersion>
  <Pages>5</Pages>
  <Words>903</Words>
  <Characters>4885</Characters>
  <CharactersWithSpaces>5702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2021-05-12T17:34:00Z</dcterms:created>
  <dc:creator>Usuário do Windows</dc:creator>
  <dc:description/>
  <dc:language>pt-BR</dc:language>
  <cp:lastModifiedBy/>
  <dcterms:modified xsi:type="dcterms:W3CDTF">2022-05-16T16:38:42Z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