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-properties+xml" PartName="/docProps/custom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custom-properties" Target="docProps/custom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gjdgxs" w:id="0"/>
      <w:bookmarkEnd w:id="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3465a4"/>
          <w:sz w:val="36"/>
          <w:szCs w:val="36"/>
          <w:u w:val="none"/>
          <w:shd w:fill="auto" w:val="clear"/>
          <w:vertAlign w:val="baseline"/>
          <w:rtl w:val="0"/>
        </w:rPr>
        <w:t xml:space="preserve">POLÍTICA DE SEGURANÇA DA INFORMAÇÃO - POSIN</w:t>
      </w: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0</wp:posOffset>
            </wp:positionH>
            <wp:positionV relativeFrom="paragraph">
              <wp:posOffset>99695</wp:posOffset>
            </wp:positionV>
            <wp:extent cx="6120130" cy="6120130"/>
            <wp:effectExtent b="0" l="0" r="0" t="0"/>
            <wp:wrapSquare wrapText="bothSides" distB="0" distT="0" distL="0" distR="0"/>
            <wp:docPr id="7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612013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2a6099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Data: </w:t>
      </w:r>
      <w:r w:rsidDel="00000000" w:rsidR="00000000" w:rsidRPr="00000000">
        <w:rPr>
          <w:rFonts w:ascii="Arial" w:cs="Arial" w:eastAsia="Arial" w:hAnsi="Arial"/>
          <w:color w:val="000000"/>
          <w:sz w:val="24"/>
          <w:szCs w:val="24"/>
          <w:highlight w:val="red"/>
          <w:rtl w:val="0"/>
        </w:rPr>
        <w:t xml:space="preserve">16/07/</w:t>
      </w:r>
      <w:r w:rsidDel="00000000" w:rsidR="00000000" w:rsidRPr="00000000">
        <w:rPr>
          <w:rFonts w:ascii="Arial" w:cs="Arial" w:eastAsia="Arial" w:hAnsi="Arial"/>
          <w:rtl w:val="0"/>
        </w:rPr>
        <w:t xml:space="preserve">2021</w:t>
      </w:r>
    </w:p>
    <w:p w:rsidR="00000000" w:rsidDel="00000000" w:rsidP="00000000" w:rsidRDefault="00000000" w:rsidRPr="00000000" w14:paraId="00000009">
      <w:pPr>
        <w:jc w:val="right"/>
        <w:rPr>
          <w:rFonts w:ascii="Arial" w:cs="Arial" w:eastAsia="Arial" w:hAnsi="Arial"/>
        </w:rPr>
      </w:pPr>
      <w:r w:rsidDel="00000000" w:rsidR="00000000" w:rsidRPr="00000000">
        <w:rPr>
          <w:rFonts w:ascii="Arial" w:cs="Arial" w:eastAsia="Arial" w:hAnsi="Arial"/>
          <w:rtl w:val="0"/>
        </w:rPr>
        <w:t xml:space="preserve">Versão 1.0</w:t>
      </w: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keepNext w:val="1"/>
        <w:keepLines w:val="0"/>
        <w:pageBreakBefore w:val="0"/>
        <w:widowControl w:val="0"/>
        <w:numPr>
          <w:ilvl w:val="1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0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bookmarkStart w:colFirst="0" w:colLast="0" w:name="_heading=h.30j0zll" w:id="1"/>
      <w:bookmarkEnd w:id="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HISTÓRICO DE ALTERAÇÕES</w:t>
      </w:r>
    </w:p>
    <w:tbl>
      <w:tblPr>
        <w:tblStyle w:val="Table1"/>
        <w:tblW w:w="9638.0" w:type="dxa"/>
        <w:jc w:val="left"/>
        <w:tblInd w:w="0.0" w:type="dxa"/>
        <w:tblLayout w:type="fixed"/>
        <w:tblLook w:val="0000"/>
      </w:tblPr>
      <w:tblGrid>
        <w:gridCol w:w="2429"/>
        <w:gridCol w:w="3606"/>
        <w:gridCol w:w="3603"/>
        <w:tblGridChange w:id="0">
          <w:tblGrid>
            <w:gridCol w:w="2429"/>
            <w:gridCol w:w="3606"/>
            <w:gridCol w:w="3603"/>
          </w:tblGrid>
        </w:tblGridChange>
      </w:tblGrid>
      <w:tr>
        <w:trPr>
          <w:cantSplit w:val="0"/>
          <w:tblHeader w:val="0"/>
        </w:trPr>
        <w:tc>
          <w:tcPr>
            <w:gridSpan w:val="3"/>
            <w:tcBorders>
              <w:top w:color="000000" w:space="0" w:sz="4" w:val="single"/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0C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DOCUMENTO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0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Descrição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Este é o documento chave da Política de Segurança da Informação - POSIN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2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Objetivo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3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Tornar a segurança da informação como um dos elementos fundamentais no planejamento estratégico da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Secretaria de Estado da Administração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4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Definir os padrões mínimos obrigatórios para o devido uso e proteção das informações criadas, recebidas, armazenadas, processadas, transmitidas ou impressas na 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Secretaria de Estado da Administração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;</w:t>
            </w:r>
          </w:p>
          <w:p w:rsidR="00000000" w:rsidDel="00000000" w:rsidP="00000000" w:rsidRDefault="00000000" w:rsidRPr="00000000" w14:paraId="00000015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Estabelecer as competências e atribuições dos atores envolvidos nesta política;</w:t>
            </w:r>
          </w:p>
          <w:p w:rsidR="00000000" w:rsidDel="00000000" w:rsidP="00000000" w:rsidRDefault="00000000" w:rsidRPr="00000000" w14:paraId="00000016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Elencar os processos necessários para atingir um padrão aceitável de Segurança da Informação, conforme as legislações existentes e os padrões que o mercado estabelece;</w:t>
            </w:r>
          </w:p>
          <w:p w:rsidR="00000000" w:rsidDel="00000000" w:rsidP="00000000" w:rsidRDefault="00000000" w:rsidRPr="00000000" w14:paraId="00000017">
            <w:pPr>
              <w:keepNext w:val="0"/>
              <w:keepLines w:val="0"/>
              <w:widowControl w:val="0"/>
              <w:numPr>
                <w:ilvl w:val="0"/>
                <w:numId w:val="1"/>
              </w:num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720" w:right="0" w:hanging="36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Difundir os aspectos relacionados à Segurança da Informação na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 Secretaria de Estado da Administração</w:t>
            </w: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.</w:t>
            </w:r>
          </w:p>
        </w:tc>
      </w:tr>
      <w:tr>
        <w:trPr>
          <w:cantSplit w:val="0"/>
          <w:tblHeader w:val="0"/>
        </w:trPr>
        <w:tc>
          <w:tcPr>
            <w:vMerge w:val="restart"/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Responsável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A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Equipe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Criado em</w:t>
            </w:r>
          </w:p>
        </w:tc>
      </w:tr>
      <w:tr>
        <w:trPr>
          <w:cantSplit w:val="0"/>
          <w:tblHeader w:val="0"/>
        </w:trPr>
        <w:tc>
          <w:tcPr>
            <w:vMerge w:val="continue"/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C">
            <w:pPr>
              <w:keepNext w:val="0"/>
              <w:keepLines w:val="0"/>
              <w:pageBreakBefore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76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</w:tcBorders>
          </w:tcPr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GESIN – DITI</w:t>
            </w:r>
          </w:p>
        </w:tc>
        <w:tc>
          <w:tcPr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16/07/2021</w:t>
            </w:r>
          </w:p>
        </w:tc>
      </w:tr>
      <w:tr>
        <w:trPr>
          <w:cantSplit w:val="0"/>
          <w:tblHeader w:val="0"/>
        </w:trPr>
        <w:tc>
          <w:tcPr>
            <w:tcBorders>
              <w:left w:color="000000" w:space="0" w:sz="4" w:val="single"/>
              <w:bottom w:color="000000" w:space="0" w:sz="4" w:val="single"/>
            </w:tcBorders>
            <w:shd w:fill="d4ea6b" w:val="clear"/>
          </w:tcPr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Setor</w:t>
            </w:r>
          </w:p>
        </w:tc>
        <w:tc>
          <w:tcPr>
            <w:gridSpan w:val="2"/>
            <w:tcBorders>
              <w:left w:color="000000" w:space="0" w:sz="4" w:val="single"/>
              <w:bottom w:color="000000" w:space="0" w:sz="4" w:val="single"/>
              <w:right w:color="000000" w:space="0" w:sz="4" w:val="single"/>
            </w:tcBorders>
          </w:tcPr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</w:rPr>
            </w:pPr>
            <w:r w:rsidDel="00000000" w:rsidR="00000000" w:rsidRPr="00000000">
              <w:rPr>
                <w:rFonts w:ascii="Arial" w:cs="Arial" w:eastAsia="Arial" w:hAnsi="Arial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highlight w:val="red"/>
                <w:u w:val="none"/>
                <w:vertAlign w:val="baseline"/>
                <w:rtl w:val="0"/>
              </w:rPr>
              <w:t xml:space="preserve">Gerência de Infraestrutura e Segurança da Informação - GESIN</w:t>
            </w:r>
          </w:p>
        </w:tc>
      </w:tr>
    </w:tbl>
    <w:p w:rsidR="00000000" w:rsidDel="00000000" w:rsidP="00000000" w:rsidRDefault="00000000" w:rsidRPr="00000000" w14:paraId="0000002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  <w:sectPr>
          <w:headerReference r:id="rId8" w:type="default"/>
          <w:pgSz w:h="16838" w:w="11906" w:orient="portrait"/>
          <w:pgMar w:bottom="1134" w:top="1693" w:left="1134" w:right="1134" w:header="1134" w:footer="0"/>
          <w:pgNumType w:start="1"/>
        </w:sect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keepNext w:val="1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</w:rPr>
      </w:pPr>
      <w:r w:rsidDel="00000000" w:rsidR="00000000" w:rsidRPr="00000000">
        <w:rPr>
          <w:rFonts w:ascii="Liberation Sans" w:cs="Liberation Sans" w:eastAsia="Liberation Sans" w:hAnsi="Liberation Sans"/>
          <w:b w:val="1"/>
          <w:i w:val="0"/>
          <w:smallCaps w:val="0"/>
          <w:strike w:val="0"/>
          <w:color w:val="000000"/>
          <w:sz w:val="32"/>
          <w:szCs w:val="32"/>
          <w:u w:val="none"/>
          <w:shd w:fill="auto" w:val="clear"/>
          <w:vertAlign w:val="baseline"/>
          <w:rtl w:val="0"/>
        </w:rPr>
        <w:t xml:space="preserve">SUMÁRIO</w:t>
      </w:r>
    </w:p>
    <w:sdt>
      <w:sdtPr>
        <w:docPartObj>
          <w:docPartGallery w:val="Table of Contents"/>
          <w:docPartUnique w:val="1"/>
        </w:docPartObj>
      </w:sdtPr>
      <w:sdtContent>
        <w:p w:rsidR="00000000" w:rsidDel="00000000" w:rsidP="00000000" w:rsidRDefault="00000000" w:rsidRPr="00000000" w14:paraId="00000024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r w:rsidDel="00000000" w:rsidR="00000000" w:rsidRPr="00000000">
            <w:fldChar w:fldCharType="begin"/>
            <w:instrText xml:space="preserve"> TOC \h \u \z </w:instrText>
            <w:fldChar w:fldCharType="separate"/>
          </w:r>
          <w:hyperlink w:anchor="_heading=h.gjdgxs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POLÍTICA DE SEGURANÇA DA INFORMAÇÃO - POSIN</w:t>
              <w:tab/>
              <w:t xml:space="preserve">1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5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283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0j0zll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HISTÓRICO DE ALTERAÇÕES</w:t>
              <w:tab/>
              <w:t xml:space="preserve">2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6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fob9te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1 – APRESENTAÇÃO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7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znysh7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2 – DOS OBJETIVOS</w:t>
              <w:tab/>
              <w:t xml:space="preserve">3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8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et92p0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3 – DECLARAÇÃO DE COMPROMETIMENTO DA ALTA GESTÃO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9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tyjcwt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4 – ABRANGÊNCIA E DIVULGAÇÃO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A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dy6vkm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5 – DOCUMENTOS QUE COMPÕEM A POSIN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B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t3h5sf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5.1 – COMITÊ DE SEGURANÇA DA INFORMAÇÃO:</w:t>
              <w:tab/>
              <w:t xml:space="preserve">4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C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4d34og8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5.2 – PLANO DE CONTINUIDADE DE NEGÓCIO (PCN):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D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s8eyo1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5.3 – PLANO DE GESTÃO DE ATIVOS DE INFORMAÇÃO: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E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7dp8vu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5.4 – PLANO DE GESTÃO DE RISCOS DE SEGURANÇA DA INFORMAÇÃO: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2F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rdcrjn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5.5 – PLANO DE SEGURANÇA PARA FORNECEDORES: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0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26in1rg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5.6 – PLANO DE CONTROLE DE ACESSO À INFORMAÇÃO:</w:t>
              <w:tab/>
              <w:t xml:space="preserve">5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1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lnxbz9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5.7 – PLANO DE CONSENTIMENTOS DE DADOS: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2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35nkun2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5.8 – PLANO DE PROTEÇÃO DE DADOS PESSOAIS BASEADA NA LGPD: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</w:p>
        <w:p w:rsidR="00000000" w:rsidDel="00000000" w:rsidP="00000000" w:rsidRDefault="00000000" w:rsidRPr="00000000" w14:paraId="00000033">
          <w:pPr>
            <w:keepNext w:val="0"/>
            <w:keepLines w:val="0"/>
            <w:widowControl w:val="0"/>
            <w:pBdr>
              <w:top w:space="0" w:sz="0" w:val="nil"/>
              <w:left w:space="0" w:sz="0" w:val="nil"/>
              <w:bottom w:space="0" w:sz="0" w:val="nil"/>
              <w:right w:space="0" w:sz="0" w:val="nil"/>
              <w:between w:space="0" w:sz="0" w:val="nil"/>
            </w:pBdr>
            <w:shd w:fill="auto" w:val="clear"/>
            <w:tabs>
              <w:tab w:val="right" w:pos="9638"/>
              <w:tab w:val="right" w:pos="9638"/>
            </w:tabs>
            <w:spacing w:after="0" w:before="0" w:line="240" w:lineRule="auto"/>
            <w:ind w:left="0" w:right="0" w:firstLine="0"/>
            <w:jc w:val="left"/>
            <w:rPr>
              <w:rFonts w:ascii="Liberation Serif" w:cs="Liberation Serif" w:eastAsia="Liberation Serif" w:hAnsi="Liberation Serif"/>
              <w:b w:val="0"/>
              <w:i w:val="0"/>
              <w:smallCaps w:val="0"/>
              <w:strike w:val="0"/>
              <w:color w:val="000000"/>
              <w:sz w:val="24"/>
              <w:szCs w:val="24"/>
              <w:u w:val="none"/>
              <w:shd w:fill="auto" w:val="clear"/>
              <w:vertAlign w:val="baseline"/>
            </w:rPr>
          </w:pPr>
          <w:hyperlink w:anchor="_heading=h.1ksv4uv">
            <w:r w:rsidDel="00000000" w:rsidR="00000000" w:rsidRPr="00000000">
              <w:rPr>
                <w:rFonts w:ascii="Liberation Serif" w:cs="Liberation Serif" w:eastAsia="Liberation Serif" w:hAnsi="Liberation Serif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shd w:fill="auto" w:val="clear"/>
                <w:vertAlign w:val="baseline"/>
                <w:rtl w:val="0"/>
              </w:rPr>
              <w:t xml:space="preserve">​ 5.9 – PLANO DE TREINAMENTO E CONSCIENTIZAÇÃO DOS USUÁRIOS SOBRE SEGURANÇA DA INFORMAÇÃO:</w:t>
              <w:tab/>
              <w:t xml:space="preserve">6</w:t>
            </w:r>
          </w:hyperlink>
          <w:r w:rsidDel="00000000" w:rsidR="00000000" w:rsidRPr="00000000">
            <w:rPr>
              <w:rtl w:val="0"/>
            </w:rPr>
          </w:r>
          <w:r w:rsidDel="00000000" w:rsidR="00000000" w:rsidRPr="00000000">
            <w:fldChar w:fldCharType="end"/>
          </w:r>
        </w:p>
      </w:sdtContent>
    </w:sdt>
    <w:p w:rsidR="00000000" w:rsidDel="00000000" w:rsidP="00000000" w:rsidRDefault="00000000" w:rsidRPr="00000000" w14:paraId="0000003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br w:type="page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6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fob9te" w:id="2"/>
      <w:bookmarkEnd w:id="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1 – APRESENTAÇÃO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documento descreve a Política de Segurança da Informação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SEA – Secretaria de Estado da Administração de SC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política consiste na adoção de medidas para proteção da informação das diversas ameaças visando preservar a integridade, confidencialidade, disponibilidade e autenticidade dos ativos de informação.</w:t>
      </w:r>
    </w:p>
    <w:p w:rsidR="00000000" w:rsidDel="00000000" w:rsidP="00000000" w:rsidRDefault="00000000" w:rsidRPr="00000000" w14:paraId="0000003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diretrizes descritas neste documento servem para orientar as ações para iniciar, implementar, manter e melhorar a gestão da segurança da informação e comunicação de maneira a promover a criação de alicerces para a proteção da informação. </w:t>
      </w:r>
    </w:p>
    <w:p w:rsidR="00000000" w:rsidDel="00000000" w:rsidP="00000000" w:rsidRDefault="00000000" w:rsidRPr="00000000" w14:paraId="0000003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Política de Segurança da Informação e Comunicação é uma declaração formal acerca do compromisso com a proteção, controle e monitoramento das informações processadas, armazenadas, transmitidas ou custodiadas, de sua propriedade e/ou sob sua guarda.</w:t>
      </w:r>
    </w:p>
    <w:p w:rsidR="00000000" w:rsidDel="00000000" w:rsidP="00000000" w:rsidRDefault="00000000" w:rsidRPr="00000000" w14:paraId="0000003B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As diretrizes apresentadas nesta Política foram baseadas nas recomendações das publicações da família de normas NBR ISO/IEC 27000.</w:t>
      </w:r>
    </w:p>
    <w:p w:rsidR="00000000" w:rsidDel="00000000" w:rsidP="00000000" w:rsidRDefault="00000000" w:rsidRPr="00000000" w14:paraId="0000003C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znysh7" w:id="3"/>
      <w:bookmarkEnd w:id="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2 – DOS OBJETIVOS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Além   de   buscar   preservar as informações e seus respectivos ativos quanto à confidencialidade, integridade, disponibilidade e autenticidade são objetivos da Política de Segurança da Informação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SEA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:</w:t>
      </w:r>
    </w:p>
    <w:p w:rsidR="00000000" w:rsidDel="00000000" w:rsidP="00000000" w:rsidRDefault="00000000" w:rsidRPr="00000000" w14:paraId="0000003E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Estabelecer diretrizes para a disponibilização e utilização de recursos de informação, serviços de redes de dados, estações de trabalho, internet, telecomunicações e correio eletrônico institucional.</w:t>
      </w:r>
    </w:p>
    <w:p w:rsidR="00000000" w:rsidDel="00000000" w:rsidP="00000000" w:rsidRDefault="00000000" w:rsidRPr="00000000" w14:paraId="0000003F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Designar, definir ou alterar papéis e responsabilidades do grupo responsável pela Segurança da Informação e Comunicações.</w:t>
      </w:r>
    </w:p>
    <w:p w:rsidR="00000000" w:rsidDel="00000000" w:rsidP="00000000" w:rsidRDefault="00000000" w:rsidRPr="00000000" w14:paraId="00000040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Apoiar a implantação das iniciativas relativas à Segurança da Informação e Comunicações.</w:t>
      </w:r>
    </w:p>
    <w:p w:rsidR="00000000" w:rsidDel="00000000" w:rsidP="00000000" w:rsidRDefault="00000000" w:rsidRPr="00000000" w14:paraId="00000041">
      <w:pPr>
        <w:keepNext w:val="0"/>
        <w:keepLines w:val="0"/>
        <w:widowControl w:val="0"/>
        <w:numPr>
          <w:ilvl w:val="0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Possibilitar a criação de controles e promover a otimização dos recursos e investimentos em tecnologia da informação, contribuindo com a minimização dos riscos associados</w:t>
      </w:r>
    </w:p>
    <w:p w:rsidR="00000000" w:rsidDel="00000000" w:rsidP="00000000" w:rsidRDefault="00000000" w:rsidRPr="00000000" w14:paraId="00000042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2et92p0" w:id="4"/>
      <w:bookmarkEnd w:id="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3 – DECLARAÇÃO DE COMPROMETIMENTO DA ALTA GESTÃO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331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alta gestão do órgão reconhece a importância dos ativos de informação da organização e de seus clientes, fornecedores e parceiros, que estão sob sua responsabilidade. Esta apoia o Sistema de Gestão de Segurança da Informação em suas atividades, visando a garantia dos princípios de confidencialidade, integridade e disponibilidade e compromete-se a implantar, manter, divulgar e fiscalizar esta política dentro da organização.</w:t>
      </w:r>
    </w:p>
    <w:p w:rsidR="00000000" w:rsidDel="00000000" w:rsidP="00000000" w:rsidRDefault="00000000" w:rsidRPr="00000000" w14:paraId="00000045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tyjcwt" w:id="5"/>
      <w:bookmarkEnd w:id="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4 – ABRANGÊNCIA E DIVULGAÇÃO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POSIN e suas eventuais normas complementares aplicam-se em toda a organização, abrangendo os servidores, prestadores de serviço, colaboradores, estagiários, consultores externos e a quem, de alguma forma, tenha acesso aos ativos de informação da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SEA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em qualquer meio ou suporte.</w:t>
      </w:r>
    </w:p>
    <w:p w:rsidR="00000000" w:rsidDel="00000000" w:rsidP="00000000" w:rsidRDefault="00000000" w:rsidRPr="00000000" w14:paraId="00000047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princípios e diretrizes gerais desta POSIN também se aplicam às entidades vinculadas a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SEA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e a quaisquer relacionamentos com outros órgãos e entidades públicos ou privados. </w:t>
      </w:r>
    </w:p>
    <w:p w:rsidR="00000000" w:rsidDel="00000000" w:rsidP="00000000" w:rsidRDefault="00000000" w:rsidRPr="00000000" w14:paraId="00000048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Este documento, dentre outras diretrizes, dá ciência a cada envolvido de que os ambientes, sistemas, recursos computacionais e redes informacionais do órgão poderão ser monitorados e gravados, com prévia informação, conforme previsto na legislação brasileira.</w:t>
      </w:r>
    </w:p>
    <w:p w:rsidR="00000000" w:rsidDel="00000000" w:rsidP="00000000" w:rsidRDefault="00000000" w:rsidRPr="00000000" w14:paraId="00000049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Esta Política de Segurança da Informação será implementada no 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highlight w:val="red"/>
          <w:u w:val="none"/>
          <w:vertAlign w:val="baseline"/>
          <w:rtl w:val="0"/>
        </w:rPr>
        <w:t xml:space="preserve">SEA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 por meio de normas e procedimentos específicos, obrigatórios para todos os usuários, independentemente do tipo de vínculo, nível hierárquico ou função.</w:t>
      </w:r>
    </w:p>
    <w:p w:rsidR="00000000" w:rsidDel="00000000" w:rsidP="00000000" w:rsidRDefault="00000000" w:rsidRPr="00000000" w14:paraId="0000004A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4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dirigentes, empregados, servidores, colaboradores, estagiários, prestadores de serviços e visitantes da empresa.</w:t>
      </w:r>
    </w:p>
    <w:p w:rsidR="00000000" w:rsidDel="00000000" w:rsidP="00000000" w:rsidRDefault="00000000" w:rsidRPr="00000000" w14:paraId="0000004B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dy6vkm" w:id="6"/>
      <w:bookmarkEnd w:id="6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5983b0"/>
          <w:sz w:val="36"/>
          <w:szCs w:val="36"/>
          <w:u w:val="none"/>
          <w:shd w:fill="auto" w:val="clear"/>
          <w:vertAlign w:val="baseline"/>
          <w:rtl w:val="0"/>
        </w:rPr>
        <w:t xml:space="preserve">5 – DOCUMENTOS QUE COMPÕEM A POSIN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240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t3h5sf" w:id="7"/>
      <w:bookmarkEnd w:id="7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5.1 – COMITÊ DE SEGURANÇA DA INFORMAÇÃO: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D">
      <w:pPr>
        <w:keepNext w:val="0"/>
        <w:keepLines w:val="0"/>
        <w:widowControl w:val="0"/>
        <w:numPr>
          <w:ilvl w:val="0"/>
          <w:numId w:val="7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comitê é responsável pela gestão da segurança da informação nos aspectos físicos e lógicos.</w:t>
      </w:r>
    </w:p>
    <w:p w:rsidR="00000000" w:rsidDel="00000000" w:rsidP="00000000" w:rsidRDefault="00000000" w:rsidRPr="00000000" w14:paraId="0000004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4d34og8" w:id="8"/>
      <w:bookmarkEnd w:id="8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5.2 – PLANO DE CONTINUIDADE DE NEGÓCIO (PCN):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F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responsabilidade pela continuidade dos negócios, bem como pelo desenvolvimento do PCN é do Comitê de Segurança da Informação.</w:t>
      </w:r>
    </w:p>
    <w:p w:rsidR="00000000" w:rsidDel="00000000" w:rsidP="00000000" w:rsidRDefault="00000000" w:rsidRPr="00000000" w14:paraId="00000050">
      <w:pPr>
        <w:keepNext w:val="0"/>
        <w:keepLines w:val="0"/>
        <w:widowControl w:val="0"/>
        <w:numPr>
          <w:ilvl w:val="0"/>
          <w:numId w:val="8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 PCN deve descrever os controles preventivos e corretivos para situações de contingência.</w:t>
      </w:r>
    </w:p>
    <w:p w:rsidR="00000000" w:rsidDel="00000000" w:rsidP="00000000" w:rsidRDefault="00000000" w:rsidRPr="00000000" w14:paraId="00000051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2s8eyo1" w:id="9"/>
      <w:bookmarkEnd w:id="9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5.3 – PLANO DE GESTÃO DE ATIVOS DE INFORMAÇÃO: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2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Os ativos de informação devem ser classificados de acordo com aspectos legais e requisitos de negócio.</w:t>
      </w:r>
    </w:p>
    <w:p w:rsidR="00000000" w:rsidDel="00000000" w:rsidP="00000000" w:rsidRDefault="00000000" w:rsidRPr="00000000" w14:paraId="00000053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responsabilidade pelo sistema de classificação de ativos é do Comitê de segurança da informação.</w:t>
      </w:r>
    </w:p>
    <w:p w:rsidR="00000000" w:rsidDel="00000000" w:rsidP="00000000" w:rsidRDefault="00000000" w:rsidRPr="00000000" w14:paraId="00000054">
      <w:pPr>
        <w:keepNext w:val="0"/>
        <w:keepLines w:val="0"/>
        <w:widowControl w:val="0"/>
        <w:numPr>
          <w:ilvl w:val="0"/>
          <w:numId w:val="10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responsabilidade pela classificação dos ativos de informação em cada setor é do respectivo gestor</w:t>
      </w: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7dp8vu" w:id="10"/>
      <w:bookmarkEnd w:id="10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5.4 – PLANO DE GESTÃO DE RISCOS DE SEGURANÇA DA INFORMAÇÃO: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6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de risco deve abranger aspectos físicos e lógicos da segurança da informação.</w:t>
      </w:r>
    </w:p>
    <w:p w:rsidR="00000000" w:rsidDel="00000000" w:rsidP="00000000" w:rsidRDefault="00000000" w:rsidRPr="00000000" w14:paraId="00000057">
      <w:pPr>
        <w:keepNext w:val="0"/>
        <w:keepLines w:val="0"/>
        <w:widowControl w:val="0"/>
        <w:numPr>
          <w:ilvl w:val="0"/>
          <w:numId w:val="1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análise de risco deve resultar em um plano de ação para a redução dos riscos encontrados.</w:t>
      </w:r>
    </w:p>
    <w:p w:rsidR="00000000" w:rsidDel="00000000" w:rsidP="00000000" w:rsidRDefault="00000000" w:rsidRPr="00000000" w14:paraId="00000058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rdcrjn" w:id="11"/>
      <w:bookmarkEnd w:id="11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5.5 – PLANO DE </w:t>
      </w:r>
      <w:r w:rsidDel="00000000" w:rsidR="00000000" w:rsidRPr="00000000">
        <w:rPr>
          <w:rFonts w:ascii="Arial" w:cs="Arial" w:eastAsia="Arial" w:hAnsi="Arial"/>
          <w:b w:val="1"/>
          <w:sz w:val="28"/>
          <w:szCs w:val="28"/>
          <w:rtl w:val="0"/>
        </w:rPr>
        <w:t xml:space="preserve">GESTÃO DE CONTRATOS</w:t>
      </w:r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40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A política de Segurança da Informação para fornecedores deve ser parte integrante dos contratos.</w:t>
      </w:r>
    </w:p>
    <w:p w:rsidR="00000000" w:rsidDel="00000000" w:rsidP="00000000" w:rsidRDefault="00000000" w:rsidRPr="00000000" w14:paraId="0000005A">
      <w:pPr>
        <w:keepNext w:val="0"/>
        <w:keepLines w:val="0"/>
        <w:widowControl w:val="1"/>
        <w:numPr>
          <w:ilvl w:val="0"/>
          <w:numId w:val="1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31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Realizar auditorias de segurança da informação em seus fornecedores, quando as informações fornecidas forem de classificação restrita.</w:t>
      </w:r>
    </w:p>
    <w:p w:rsidR="00000000" w:rsidDel="00000000" w:rsidP="00000000" w:rsidRDefault="00000000" w:rsidRPr="00000000" w14:paraId="0000005B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26in1rg" w:id="12"/>
      <w:bookmarkEnd w:id="12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5.6 – PLANO DE CONTROLE DE ACESSO À INFORMAÇÃO: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Segurança Física: Descrever os controles e monitoramento dos ambientes físicos.</w:t>
      </w:r>
    </w:p>
    <w:p w:rsidR="00000000" w:rsidDel="00000000" w:rsidP="00000000" w:rsidRDefault="00000000" w:rsidRPr="00000000" w14:paraId="0000005D">
      <w:pPr>
        <w:keepNext w:val="0"/>
        <w:keepLines w:val="0"/>
        <w:widowControl w:val="0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0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Segurança Lógica: Descrever controles de acesso à internet, controle de acesso à rede interna, armazenamento e manuseio de informações, utilização de e-mail, instalação e utilização de sistemas corporativos, uso de senhas.</w:t>
      </w:r>
    </w:p>
    <w:p w:rsidR="00000000" w:rsidDel="00000000" w:rsidP="00000000" w:rsidRDefault="00000000" w:rsidRPr="00000000" w14:paraId="0000005E">
      <w:pPr>
        <w:keepNext w:val="1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lnxbz9" w:id="13"/>
      <w:bookmarkEnd w:id="13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5.7 – PLANO DE CONSENTIMENTOS DE DADOS: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Obter consentimento das partes envolvidas para dar segurança legal.</w:t>
      </w:r>
    </w:p>
    <w:p w:rsidR="00000000" w:rsidDel="00000000" w:rsidP="00000000" w:rsidRDefault="00000000" w:rsidRPr="00000000" w14:paraId="00000060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Captação de dados de terceiros e seu armazenamento, uso de dados e privacidade.</w:t>
      </w:r>
    </w:p>
    <w:p w:rsidR="00000000" w:rsidDel="00000000" w:rsidP="00000000" w:rsidRDefault="00000000" w:rsidRPr="00000000" w14:paraId="00000061">
      <w:pPr>
        <w:keepNext w:val="0"/>
        <w:keepLines w:val="0"/>
        <w:widowControl w:val="0"/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720" w:right="0" w:hanging="36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Consentimento de sigilo e confidencialidade.</w:t>
      </w:r>
    </w:p>
    <w:p w:rsidR="00000000" w:rsidDel="00000000" w:rsidP="00000000" w:rsidRDefault="00000000" w:rsidRPr="00000000" w14:paraId="00000062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35nkun2" w:id="14"/>
      <w:bookmarkEnd w:id="14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5.8 – PLANO DE PROTEÇÃO DE DADOS PESSOAIS BASEADA NA LGPD: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3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00" w:before="0" w:line="288" w:lineRule="auto"/>
        <w:ind w:left="707" w:right="0" w:hanging="283"/>
        <w:jc w:val="left"/>
        <w:rPr>
          <w:rFonts w:ascii="Liberation Serif" w:cs="Liberation Serif" w:eastAsia="Liberation Serif" w:hAnsi="Liberation Serif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Declaração de terceiros a conformidade</w:t>
      </w:r>
      <w:hyperlink r:id="rId9">
        <w:r w:rsidDel="00000000" w:rsidR="00000000" w:rsidRPr="00000000">
          <w:rPr>
            <w:rFonts w:ascii="Arial" w:cs="Arial" w:eastAsia="Arial" w:hAnsi="Arial"/>
            <w:b w:val="0"/>
            <w:i w:val="0"/>
            <w:smallCaps w:val="0"/>
            <w:strike w:val="0"/>
            <w:color w:val="000000"/>
            <w:sz w:val="24"/>
            <w:szCs w:val="24"/>
            <w:u w:val="none"/>
            <w:shd w:fill="auto" w:val="clear"/>
            <w:vertAlign w:val="baseline"/>
            <w:rtl w:val="0"/>
          </w:rPr>
          <w:t xml:space="preserve"> </w:t>
        </w:r>
      </w:hyperlink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com a LGPD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4">
      <w:pPr>
        <w:keepNext w:val="0"/>
        <w:keepLines w:val="0"/>
        <w:widowControl w:val="0"/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100" w:before="0" w:line="288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Questionário para a conformidade</w:t>
      </w:r>
    </w:p>
    <w:p w:rsidR="00000000" w:rsidDel="00000000" w:rsidP="00000000" w:rsidRDefault="00000000" w:rsidRPr="00000000" w14:paraId="00000065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10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6">
      <w:pPr>
        <w:keepNext w:val="0"/>
        <w:keepLines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88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7">
      <w:pPr>
        <w:keepNext w:val="1"/>
        <w:keepLines w:val="0"/>
        <w:pageBreakBefore w:val="0"/>
        <w:widowControl w:val="0"/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120" w:before="240" w:line="306.99999999999994" w:lineRule="auto"/>
        <w:ind w:left="0" w:right="0" w:firstLine="0"/>
        <w:jc w:val="left"/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36"/>
          <w:szCs w:val="36"/>
          <w:u w:val="none"/>
          <w:shd w:fill="auto" w:val="clear"/>
          <w:vertAlign w:val="baseline"/>
        </w:rPr>
      </w:pPr>
      <w:bookmarkStart w:colFirst="0" w:colLast="0" w:name="_heading=h.1ksv4uv" w:id="15"/>
      <w:bookmarkEnd w:id="15"/>
      <w:r w:rsidDel="00000000" w:rsidR="00000000" w:rsidRPr="00000000">
        <w:rPr>
          <w:rFonts w:ascii="Arial" w:cs="Arial" w:eastAsia="Arial" w:hAnsi="Arial"/>
          <w:b w:val="1"/>
          <w:i w:val="0"/>
          <w:smallCaps w:val="0"/>
          <w:strike w:val="0"/>
          <w:color w:val="000000"/>
          <w:sz w:val="28"/>
          <w:szCs w:val="28"/>
          <w:u w:val="none"/>
          <w:shd w:fill="auto" w:val="clear"/>
          <w:vertAlign w:val="baseline"/>
          <w:rtl w:val="0"/>
        </w:rPr>
        <w:t xml:space="preserve">5.9 – PLANO DE TREINAMENTO E CONSCIENTIZAÇÃO DOS USUÁRIOS SOBRE SEGURANÇA DA INFORMAÇÃO: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8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Elaborar conteúdo para divulgar a Política de Segurança da Informação e avaliar o nível de maturidade;</w:t>
      </w:r>
    </w:p>
    <w:p w:rsidR="00000000" w:rsidDel="00000000" w:rsidP="00000000" w:rsidRDefault="00000000" w:rsidRPr="00000000" w14:paraId="00000069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Identificar necessidades de treinamento e capacitação dos usuários;</w:t>
      </w:r>
    </w:p>
    <w:p w:rsidR="00000000" w:rsidDel="00000000" w:rsidP="00000000" w:rsidRDefault="00000000" w:rsidRPr="00000000" w14:paraId="0000006A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Mostrar e sensibilizar sobre a importância da manutenção das ações de Segurança da Informação.</w:t>
      </w:r>
    </w:p>
    <w:p w:rsidR="00000000" w:rsidDel="00000000" w:rsidP="00000000" w:rsidRDefault="00000000" w:rsidRPr="00000000" w14:paraId="0000006B">
      <w:pPr>
        <w:keepNext w:val="0"/>
        <w:keepLines w:val="0"/>
        <w:widowControl w:val="0"/>
        <w:numPr>
          <w:ilvl w:val="0"/>
          <w:numId w:val="9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tabs>
          <w:tab w:val="left" w:pos="0"/>
        </w:tabs>
        <w:spacing w:after="240" w:before="0" w:line="331" w:lineRule="auto"/>
        <w:ind w:left="707" w:right="0" w:hanging="283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</w:rPr>
      </w:pPr>
      <w:r w:rsidDel="00000000" w:rsidR="00000000" w:rsidRPr="00000000"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4"/>
          <w:szCs w:val="24"/>
          <w:u w:val="none"/>
          <w:shd w:fill="auto" w:val="clear"/>
          <w:vertAlign w:val="baseline"/>
          <w:rtl w:val="0"/>
        </w:rPr>
        <w:t xml:space="preserve">Todos os usuários devem assinar um termo de ciência em relação à Política de Segurança da Informação.</w:t>
      </w:r>
    </w:p>
    <w:sectPr>
      <w:footerReference r:id="rId10" w:type="default"/>
      <w:type w:val="nextPage"/>
      <w:pgSz w:h="16838" w:w="11906" w:orient="portrait"/>
      <w:pgMar w:bottom="1693" w:top="1693" w:left="1134" w:right="1134" w:header="1134" w:footer="1134"/>
      <w:pgNumType w:start="2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Georgia"/>
  <w:font w:name="Arial"/>
  <w:font w:name="Liberation Sans"/>
  <w:font w:name="Noto Sans Symbols"/>
  <w:font w:name="Liberation Serif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70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  <w:rtl w:val="0"/>
      </w:rPr>
      <w:tab/>
      <w:tab/>
    </w:r>
    <w:r w:rsidDel="00000000" w:rsidR="00000000" w:rsidRPr="00000000"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  <w:fldChar w:fldCharType="begin"/>
      <w:instrText xml:space="preserve">PAGE</w:instrText>
      <w:fldChar w:fldCharType="separate"/>
      <w:fldChar w:fldCharType="end"/>
    </w: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71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76" w:lineRule="auto"/>
      <w:ind w:left="0" w:right="0" w:firstLine="0"/>
      <w:jc w:val="left"/>
      <w:rPr>
        <w:rFonts w:ascii="Liberation Serif" w:cs="Liberation Serif" w:eastAsia="Liberation Serif" w:hAnsi="Liberation Serif"/>
        <w:b w:val="0"/>
        <w:i w:val="0"/>
        <w:smallCaps w:val="0"/>
        <w:strike w:val="0"/>
        <w:color w:val="000000"/>
        <w:sz w:val="24"/>
        <w:szCs w:val="24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6C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0" w:before="0" w:line="240" w:lineRule="auto"/>
      <w:ind w:left="0" w:right="0" w:firstLine="0"/>
      <w:jc w:val="center"/>
      <w:rPr>
        <w:rFonts w:ascii="Arial" w:cs="Arial" w:eastAsia="Arial" w:hAnsi="Arial"/>
        <w:b w:val="0"/>
        <w:i w:val="0"/>
        <w:smallCaps w:val="0"/>
        <w:strike w:val="0"/>
        <w:color w:val="000000"/>
        <w:sz w:val="16"/>
        <w:szCs w:val="16"/>
        <w:highlight w:val="red"/>
        <w:u w:val="none"/>
        <w:vertAlign w:val="baseline"/>
      </w:rPr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0" distB="0" distT="0" distL="0" distR="0" hidden="0" layoutInCell="1" locked="0" relativeHeight="0" simplePos="0">
          <wp:simplePos x="0" y="0"/>
          <wp:positionH relativeFrom="column">
            <wp:posOffset>2383155</wp:posOffset>
          </wp:positionH>
          <wp:positionV relativeFrom="paragraph">
            <wp:posOffset>-676908</wp:posOffset>
          </wp:positionV>
          <wp:extent cx="1499870" cy="832485"/>
          <wp:effectExtent b="0" l="0" r="0" t="0"/>
          <wp:wrapSquare wrapText="bothSides" distB="0" distT="0" distL="0" distR="0"/>
          <wp:docPr id="8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1499870" cy="832485"/>
                  </a:xfrm>
                  <a:prstGeom prst="rect"/>
                  <a:ln/>
                </pic:spPr>
              </pic:pic>
            </a:graphicData>
          </a:graphic>
        </wp:anchor>
      </w:drawing>
    </w:r>
  </w:p>
  <w:p w:rsidR="00000000" w:rsidDel="00000000" w:rsidP="00000000" w:rsidRDefault="00000000" w:rsidRPr="00000000" w14:paraId="0000006D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16"/>
        <w:szCs w:val="16"/>
        <w:highlight w:val="red"/>
      </w:rPr>
    </w:pPr>
    <w:r w:rsidDel="00000000" w:rsidR="00000000" w:rsidRPr="00000000">
      <w:rPr>
        <w:rtl w:val="0"/>
      </w:rPr>
    </w:r>
  </w:p>
  <w:p w:rsidR="00000000" w:rsidDel="00000000" w:rsidP="00000000" w:rsidRDefault="00000000" w:rsidRPr="00000000" w14:paraId="0000006E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highlight w:val="red"/>
        <w:u w:val="none"/>
        <w:vertAlign w:val="baseline"/>
      </w:rPr>
    </w:pPr>
    <w:r w:rsidDel="00000000" w:rsidR="00000000" w:rsidRPr="00000000">
      <w:rPr>
        <w:rFonts w:ascii="Arial" w:cs="Arial" w:eastAsia="Arial" w:hAnsi="Arial"/>
        <w:b w:val="1"/>
        <w:i w:val="0"/>
        <w:smallCaps w:val="0"/>
        <w:strike w:val="0"/>
        <w:color w:val="000000"/>
        <w:sz w:val="16"/>
        <w:szCs w:val="16"/>
        <w:highlight w:val="red"/>
        <w:u w:val="none"/>
        <w:vertAlign w:val="baseline"/>
        <w:rtl w:val="0"/>
      </w:rPr>
      <w:t xml:space="preserve">SECRETARIA DE ESTADO DA ADMINISTRAÇÃO- SEA</w:t>
    </w:r>
  </w:p>
  <w:p w:rsidR="00000000" w:rsidDel="00000000" w:rsidP="00000000" w:rsidRDefault="00000000" w:rsidRPr="00000000" w14:paraId="0000006F">
    <w:pPr>
      <w:keepNext w:val="0"/>
      <w:keepLines w:val="0"/>
      <w:widowControl w:val="0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pos="4819"/>
        <w:tab w:val="right" w:pos="9638"/>
      </w:tabs>
      <w:spacing w:after="0" w:before="0" w:line="240" w:lineRule="auto"/>
      <w:ind w:left="0" w:right="0" w:firstLine="0"/>
      <w:jc w:val="center"/>
      <w:rPr>
        <w:rFonts w:ascii="Arial" w:cs="Arial" w:eastAsia="Arial" w:hAnsi="Arial"/>
        <w:b w:val="1"/>
        <w:sz w:val="16"/>
        <w:szCs w:val="16"/>
        <w:highlight w:val="red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2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3"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◦"/>
      <w:lvlJc w:val="left"/>
      <w:pPr>
        <w:ind w:left="1080" w:hanging="360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▪"/>
      <w:lvlJc w:val="left"/>
      <w:pPr>
        <w:ind w:left="144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180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◦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▪"/>
      <w:lvlJc w:val="left"/>
      <w:pPr>
        <w:ind w:left="25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◦"/>
      <w:lvlJc w:val="left"/>
      <w:pPr>
        <w:ind w:left="3240" w:hanging="360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▪"/>
      <w:lvlJc w:val="left"/>
      <w:pPr>
        <w:ind w:left="360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"/>
      <w:lvlJc w:val="left"/>
      <w:pPr>
        <w:ind w:left="0" w:firstLine="0"/>
      </w:pPr>
      <w:rPr/>
    </w:lvl>
    <w:lvl w:ilvl="1">
      <w:start w:val="1"/>
      <w:numFmt w:val="decimal"/>
      <w:lvlText w:val=""/>
      <w:lvlJc w:val="left"/>
      <w:pPr>
        <w:ind w:left="0" w:firstLine="0"/>
      </w:pPr>
      <w:rPr/>
    </w:lvl>
    <w:lvl w:ilvl="2">
      <w:start w:val="1"/>
      <w:numFmt w:val="decimal"/>
      <w:lvlText w:val=""/>
      <w:lvlJc w:val="left"/>
      <w:pPr>
        <w:ind w:left="0" w:firstLine="0"/>
      </w:pPr>
      <w:rPr/>
    </w:lvl>
    <w:lvl w:ilvl="3">
      <w:start w:val="1"/>
      <w:numFmt w:val="decimal"/>
      <w:lvlText w:val=""/>
      <w:lvlJc w:val="left"/>
      <w:pPr>
        <w:ind w:left="0" w:firstLine="0"/>
      </w:pPr>
      <w:rPr/>
    </w:lvl>
    <w:lvl w:ilvl="4">
      <w:start w:val="1"/>
      <w:numFmt w:val="decimal"/>
      <w:lvlText w:val=""/>
      <w:lvlJc w:val="left"/>
      <w:pPr>
        <w:ind w:left="0" w:firstLine="0"/>
      </w:pPr>
      <w:rPr/>
    </w:lvl>
    <w:lvl w:ilvl="5">
      <w:start w:val="1"/>
      <w:numFmt w:val="decimal"/>
      <w:lvlText w:val=""/>
      <w:lvlJc w:val="left"/>
      <w:pPr>
        <w:ind w:left="0" w:firstLine="0"/>
      </w:pPr>
      <w:rPr/>
    </w:lvl>
    <w:lvl w:ilvl="6">
      <w:start w:val="1"/>
      <w:numFmt w:val="decimal"/>
      <w:lvlText w:val=""/>
      <w:lvlJc w:val="left"/>
      <w:pPr>
        <w:ind w:left="0" w:firstLine="0"/>
      </w:pPr>
      <w:rPr/>
    </w:lvl>
    <w:lvl w:ilvl="7">
      <w:start w:val="1"/>
      <w:numFmt w:val="decimal"/>
      <w:lvlText w:val=""/>
      <w:lvlJc w:val="left"/>
      <w:pPr>
        <w:ind w:left="0" w:firstLine="0"/>
      </w:pPr>
      <w:rPr/>
    </w:lvl>
    <w:lvl w:ilvl="8">
      <w:start w:val="1"/>
      <w:numFmt w:val="decimal"/>
      <w:lvlText w:val=""/>
      <w:lvlJc w:val="left"/>
      <w:pPr>
        <w:ind w:left="0" w:firstLine="0"/>
      </w:pPr>
      <w:rPr/>
    </w:lvl>
  </w:abstractNum>
  <w:abstractNum w:abstractNumId="5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6">
    <w:lvl w:ilvl="0">
      <w:start w:val="1"/>
      <w:numFmt w:val="upperRoman"/>
      <w:lvlText w:val="%1."/>
      <w:lvlJc w:val="left"/>
      <w:pPr>
        <w:ind w:left="720" w:hanging="360"/>
      </w:pPr>
      <w:rPr/>
    </w:lvl>
    <w:lvl w:ilvl="1">
      <w:start w:val="1"/>
      <w:numFmt w:val="upperRoman"/>
      <w:lvlText w:val="%2."/>
      <w:lvlJc w:val="left"/>
      <w:pPr>
        <w:ind w:left="1080" w:hanging="360"/>
      </w:pPr>
      <w:rPr/>
    </w:lvl>
    <w:lvl w:ilvl="2">
      <w:start w:val="1"/>
      <w:numFmt w:val="upperRoman"/>
      <w:lvlText w:val="%3."/>
      <w:lvlJc w:val="left"/>
      <w:pPr>
        <w:ind w:left="1440" w:hanging="360"/>
      </w:pPr>
      <w:rPr/>
    </w:lvl>
    <w:lvl w:ilvl="3">
      <w:start w:val="1"/>
      <w:numFmt w:val="upperRoman"/>
      <w:lvlText w:val="%4."/>
      <w:lvlJc w:val="left"/>
      <w:pPr>
        <w:ind w:left="1800" w:hanging="360"/>
      </w:pPr>
      <w:rPr/>
    </w:lvl>
    <w:lvl w:ilvl="4">
      <w:start w:val="1"/>
      <w:numFmt w:val="upperRoman"/>
      <w:lvlText w:val="%5."/>
      <w:lvlJc w:val="left"/>
      <w:pPr>
        <w:ind w:left="2160" w:hanging="360"/>
      </w:pPr>
      <w:rPr/>
    </w:lvl>
    <w:lvl w:ilvl="5">
      <w:start w:val="1"/>
      <w:numFmt w:val="upperRoman"/>
      <w:lvlText w:val="%6."/>
      <w:lvlJc w:val="left"/>
      <w:pPr>
        <w:ind w:left="2520" w:hanging="360"/>
      </w:pPr>
      <w:rPr/>
    </w:lvl>
    <w:lvl w:ilvl="6">
      <w:start w:val="1"/>
      <w:numFmt w:val="upperRoman"/>
      <w:lvlText w:val="%7."/>
      <w:lvlJc w:val="left"/>
      <w:pPr>
        <w:ind w:left="2880" w:hanging="360"/>
      </w:pPr>
      <w:rPr/>
    </w:lvl>
    <w:lvl w:ilvl="7">
      <w:start w:val="1"/>
      <w:numFmt w:val="upperRoman"/>
      <w:lvlText w:val="%8."/>
      <w:lvlJc w:val="left"/>
      <w:pPr>
        <w:ind w:left="3240" w:hanging="360"/>
      </w:pPr>
      <w:rPr/>
    </w:lvl>
    <w:lvl w:ilvl="8">
      <w:start w:val="1"/>
      <w:numFmt w:val="upperRoman"/>
      <w:lvlText w:val="%9."/>
      <w:lvlJc w:val="left"/>
      <w:pPr>
        <w:ind w:left="3600" w:hanging="360"/>
      </w:pPr>
      <w:rPr/>
    </w:lvl>
  </w:abstractNum>
  <w:abstractNum w:abstractNumId="7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8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9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10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11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abstractNum w:abstractNumId="12">
    <w:lvl w:ilvl="0">
      <w:start w:val="1"/>
      <w:numFmt w:val="bullet"/>
      <w:lvlText w:val="●"/>
      <w:lvlJc w:val="left"/>
      <w:pPr>
        <w:ind w:left="707" w:hanging="282.99999999999994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●"/>
      <w:lvlJc w:val="left"/>
      <w:pPr>
        <w:ind w:left="1414" w:hanging="283"/>
      </w:pPr>
      <w:rPr>
        <w:rFonts w:ascii="Noto Sans Symbols" w:cs="Noto Sans Symbols" w:eastAsia="Noto Sans Symbols" w:hAnsi="Noto Sans Symbols"/>
      </w:rPr>
    </w:lvl>
    <w:lvl w:ilvl="2">
      <w:start w:val="1"/>
      <w:numFmt w:val="bullet"/>
      <w:lvlText w:val="●"/>
      <w:lvlJc w:val="left"/>
      <w:pPr>
        <w:ind w:left="2121" w:hanging="283.0000000000002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28" w:hanging="283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●"/>
      <w:lvlJc w:val="left"/>
      <w:pPr>
        <w:ind w:left="3535" w:hanging="283"/>
      </w:pPr>
      <w:rPr>
        <w:rFonts w:ascii="Noto Sans Symbols" w:cs="Noto Sans Symbols" w:eastAsia="Noto Sans Symbols" w:hAnsi="Noto Sans Symbols"/>
      </w:rPr>
    </w:lvl>
    <w:lvl w:ilvl="5">
      <w:start w:val="1"/>
      <w:numFmt w:val="bullet"/>
      <w:lvlText w:val="●"/>
      <w:lvlJc w:val="left"/>
      <w:pPr>
        <w:ind w:left="4242" w:hanging="283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4949" w:hanging="283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●"/>
      <w:lvlJc w:val="left"/>
      <w:pPr>
        <w:ind w:left="5656" w:hanging="282.9999999999991"/>
      </w:pPr>
      <w:rPr>
        <w:rFonts w:ascii="Noto Sans Symbols" w:cs="Noto Sans Symbols" w:eastAsia="Noto Sans Symbols" w:hAnsi="Noto Sans Symbols"/>
      </w:rPr>
    </w:lvl>
    <w:lvl w:ilvl="8">
      <w:start w:val="1"/>
      <w:numFmt w:val="bullet"/>
      <w:lvlText w:val="●"/>
      <w:lvlJc w:val="left"/>
      <w:pPr>
        <w:ind w:left="6363" w:hanging="283"/>
      </w:pPr>
      <w:rPr>
        <w:rFonts w:ascii="Noto Sans Symbols" w:cs="Noto Sans Symbols" w:eastAsia="Noto Sans Symbols" w:hAnsi="Noto Sans Symbols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  <w:num w:numId="7">
    <w:abstractNumId w:val="7"/>
  </w:num>
  <w:num w:numId="8">
    <w:abstractNumId w:val="8"/>
  </w:num>
  <w:num w:numId="9">
    <w:abstractNumId w:val="9"/>
  </w:num>
  <w:num w:numId="10">
    <w:abstractNumId w:val="10"/>
  </w:num>
  <w:num w:numId="11">
    <w:abstractNumId w:val="11"/>
  </w:num>
  <w:num w:numId="12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Liberation Serif" w:cs="Liberation Serif" w:eastAsia="Liberation Serif" w:hAnsi="Liberation Serif"/>
        <w:sz w:val="24"/>
        <w:szCs w:val="24"/>
        <w:lang w:val="pt-BR"/>
      </w:rPr>
    </w:rPrDefault>
    <w:pPrDefault>
      <w:pPr>
        <w:widowControl w:val="0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707" w:hanging="283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1414" w:hanging="283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2121" w:hanging="283.0000000000001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3535" w:hanging="283.0000000000001"/>
    </w:pPr>
    <w:rPr>
      <w:rFonts w:ascii="Liberation Sans" w:cs="Liberation Sans" w:eastAsia="Liberation Sans" w:hAnsi="Liberation Sans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spacing w:after="120" w:before="240" w:lineRule="auto"/>
      <w:ind w:left="0" w:firstLine="0"/>
    </w:pPr>
    <w:rPr>
      <w:rFonts w:ascii="Liberation Sans" w:cs="Liberation Sans" w:eastAsia="Liberation Sans" w:hAnsi="Liberation Sans"/>
      <w:b w:val="1"/>
      <w:sz w:val="36"/>
      <w:szCs w:val="36"/>
    </w:rPr>
  </w:style>
  <w:style w:type="paragraph" w:styleId="Heading2">
    <w:name w:val="heading 2"/>
    <w:basedOn w:val="Normal"/>
    <w:next w:val="Normal"/>
    <w:pPr>
      <w:keepNext w:val="1"/>
      <w:spacing w:after="120" w:before="200" w:lineRule="auto"/>
      <w:ind w:left="0" w:firstLine="0"/>
    </w:pPr>
    <w:rPr>
      <w:rFonts w:ascii="Liberation Sans" w:cs="Liberation Sans" w:eastAsia="Liberation Sans" w:hAnsi="Liberation Sans"/>
      <w:b w:val="1"/>
      <w:sz w:val="32"/>
      <w:szCs w:val="32"/>
    </w:rPr>
  </w:style>
  <w:style w:type="paragraph" w:styleId="Heading3">
    <w:name w:val="heading 3"/>
    <w:basedOn w:val="Normal"/>
    <w:next w:val="Normal"/>
    <w:pPr>
      <w:keepNext w:val="1"/>
      <w:spacing w:after="120" w:before="140" w:lineRule="auto"/>
      <w:ind w:left="0" w:firstLine="0"/>
    </w:pPr>
    <w:rPr>
      <w:rFonts w:ascii="Liberation Sans" w:cs="Liberation Sans" w:eastAsia="Liberation Sans" w:hAnsi="Liberation Sans"/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spacing w:after="60" w:before="120" w:lineRule="auto"/>
      <w:ind w:left="0" w:firstLine="0"/>
    </w:pPr>
    <w:rPr>
      <w:rFonts w:ascii="Liberation Sans" w:cs="Liberation Sans" w:eastAsia="Liberation Sans" w:hAnsi="Liberation Sans"/>
      <w:b w:val="1"/>
      <w:sz w:val="24"/>
      <w:szCs w:val="24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Normal">
    <w:name w:val="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Tahoma" w:eastAsia="Segoe UI" w:hAnsi="Liberation Serif"/>
      <w:color w:val="000000"/>
      <w:kern w:val="0"/>
      <w:sz w:val="24"/>
      <w:szCs w:val="24"/>
      <w:lang w:bidi="hi-IN" w:eastAsia="zh-CN" w:val="pt-BR"/>
    </w:rPr>
  </w:style>
  <w:style w:type="paragraph" w:styleId="Ttulo1">
    <w:name w:val="Heading 1"/>
    <w:basedOn w:val="Ttulo"/>
    <w:next w:val="Corpodotexto"/>
    <w:qFormat w:val="1"/>
    <w:pPr>
      <w:numPr>
        <w:ilvl w:val="0"/>
        <w:numId w:val="1"/>
      </w:numPr>
      <w:spacing w:after="120" w:before="240"/>
      <w:outlineLvl w:val="0"/>
    </w:pPr>
    <w:rPr>
      <w:b w:val="1"/>
      <w:bCs w:val="1"/>
      <w:sz w:val="36"/>
      <w:szCs w:val="36"/>
    </w:rPr>
  </w:style>
  <w:style w:type="paragraph" w:styleId="Ttulo2">
    <w:name w:val="Heading 2"/>
    <w:basedOn w:val="Ttulo"/>
    <w:next w:val="Corpodotexto"/>
    <w:qFormat w:val="1"/>
    <w:pPr>
      <w:numPr>
        <w:ilvl w:val="1"/>
        <w:numId w:val="1"/>
      </w:numPr>
      <w:spacing w:after="120" w:before="200"/>
      <w:outlineLvl w:val="1"/>
    </w:pPr>
    <w:rPr>
      <w:b w:val="1"/>
      <w:bCs w:val="1"/>
      <w:sz w:val="32"/>
      <w:szCs w:val="32"/>
    </w:rPr>
  </w:style>
  <w:style w:type="paragraph" w:styleId="Ttulo3">
    <w:name w:val="Heading 3"/>
    <w:basedOn w:val="Ttulo"/>
    <w:next w:val="Corpodotexto"/>
    <w:qFormat w:val="1"/>
    <w:pPr>
      <w:numPr>
        <w:ilvl w:val="2"/>
        <w:numId w:val="1"/>
      </w:numPr>
      <w:spacing w:after="120" w:before="140"/>
      <w:outlineLvl w:val="2"/>
    </w:pPr>
    <w:rPr>
      <w:b w:val="1"/>
      <w:bCs w:val="1"/>
      <w:sz w:val="28"/>
      <w:szCs w:val="28"/>
    </w:rPr>
  </w:style>
  <w:style w:type="paragraph" w:styleId="Ttulo5">
    <w:name w:val="Heading 5"/>
    <w:basedOn w:val="Ttulo"/>
    <w:next w:val="Corpodotexto"/>
    <w:qFormat w:val="1"/>
    <w:pPr>
      <w:numPr>
        <w:ilvl w:val="4"/>
        <w:numId w:val="1"/>
      </w:numPr>
      <w:spacing w:after="60" w:before="120"/>
      <w:outlineLvl w:val="4"/>
    </w:pPr>
    <w:rPr>
      <w:b w:val="1"/>
      <w:bCs w:val="1"/>
      <w:sz w:val="24"/>
      <w:szCs w:val="24"/>
    </w:rPr>
  </w:style>
  <w:style w:type="character" w:styleId="LinkdaInternet">
    <w:name w:val="Link da Internet"/>
    <w:rPr>
      <w:color w:val="000080"/>
      <w:u w:val="single"/>
      <w:lang w:bidi="zxx" w:eastAsia="zxx" w:val="zxx"/>
    </w:rPr>
  </w:style>
  <w:style w:type="character" w:styleId="Vnculodendice">
    <w:name w:val="Vínculo de índice"/>
    <w:qFormat w:val="1"/>
    <w:rPr/>
  </w:style>
  <w:style w:type="character" w:styleId="Smbolosdenumerao">
    <w:name w:val="Símbolos de numeração"/>
    <w:qFormat w:val="1"/>
    <w:rPr/>
  </w:style>
  <w:style w:type="character" w:styleId="Marcas">
    <w:name w:val="Marcas"/>
    <w:qFormat w:val="1"/>
    <w:rPr>
      <w:rFonts w:ascii="OpenSymbol" w:cs="OpenSymbol" w:eastAsia="OpenSymbol" w:hAnsi="OpenSymbol"/>
    </w:rPr>
  </w:style>
  <w:style w:type="paragraph" w:styleId="Ttulo">
    <w:name w:val="Título"/>
    <w:basedOn w:val="Normal"/>
    <w:next w:val="Corpodotexto"/>
    <w:qFormat w:val="1"/>
    <w:pPr>
      <w:keepNext w:val="1"/>
      <w:spacing w:after="120" w:before="240"/>
    </w:pPr>
    <w:rPr>
      <w:rFonts w:ascii="Liberation Sans" w:cs="Lucida Sans" w:eastAsia="Microsoft YaHei" w:hAnsi="Liberation Sans"/>
      <w:sz w:val="28"/>
      <w:szCs w:val="28"/>
    </w:rPr>
  </w:style>
  <w:style w:type="paragraph" w:styleId="Corpodotexto">
    <w:name w:val="Body Text"/>
    <w:basedOn w:val="Normal"/>
    <w:pPr>
      <w:spacing w:after="140" w:before="0" w:line="276" w:lineRule="auto"/>
    </w:pPr>
    <w:rPr/>
  </w:style>
  <w:style w:type="paragraph" w:styleId="Lista">
    <w:name w:val="List"/>
    <w:basedOn w:val="Corpodotexto"/>
    <w:pPr/>
    <w:rPr>
      <w:rFonts w:cs="Lucida Sans"/>
    </w:rPr>
  </w:style>
  <w:style w:type="paragraph" w:styleId="Legenda">
    <w:name w:val="Caption"/>
    <w:basedOn w:val="Normal"/>
    <w:qFormat w:val="1"/>
    <w:pPr>
      <w:suppressLineNumbers w:val="1"/>
      <w:spacing w:after="120" w:before="120"/>
    </w:pPr>
    <w:rPr>
      <w:rFonts w:cs="Lucida Sans"/>
      <w:i w:val="1"/>
      <w:iCs w:val="1"/>
      <w:sz w:val="24"/>
      <w:szCs w:val="24"/>
    </w:rPr>
  </w:style>
  <w:style w:type="paragraph" w:styleId="Ndice">
    <w:name w:val="Índice"/>
    <w:basedOn w:val="Normal"/>
    <w:qFormat w:val="1"/>
    <w:pPr>
      <w:suppressLineNumbers w:val="1"/>
    </w:pPr>
    <w:rPr/>
  </w:style>
  <w:style w:type="paragraph" w:styleId="CabealhoeRodap">
    <w:name w:val="Cabeçalho e Rodapé"/>
    <w:basedOn w:val="Normal"/>
    <w:qFormat w:val="1"/>
    <w:pPr>
      <w:suppressLineNumbers w:val="1"/>
      <w:tabs>
        <w:tab w:val="clear" w:pos="1134"/>
        <w:tab w:val="center" w:leader="none" w:pos="4819"/>
        <w:tab w:val="right" w:leader="none" w:pos="9638"/>
      </w:tabs>
    </w:pPr>
    <w:rPr/>
  </w:style>
  <w:style w:type="paragraph" w:styleId="Cabealho">
    <w:name w:val="Header"/>
    <w:basedOn w:val="CabealhoeRodap"/>
    <w:pPr>
      <w:suppressLineNumbers w:val="1"/>
    </w:pPr>
    <w:rPr/>
  </w:style>
  <w:style w:type="paragraph" w:styleId="Contedodatabela">
    <w:name w:val="Conteúdo da tabela"/>
    <w:basedOn w:val="Normal"/>
    <w:qFormat w:val="1"/>
    <w:pPr>
      <w:widowControl w:val="0"/>
      <w:suppressLineNumbers w:val="1"/>
    </w:pPr>
    <w:rPr/>
  </w:style>
  <w:style w:type="paragraph" w:styleId="Sumrio1">
    <w:name w:val="TOC 1"/>
    <w:basedOn w:val="Ndice"/>
    <w:pPr>
      <w:tabs>
        <w:tab w:val="clear" w:pos="1134"/>
        <w:tab w:val="right" w:leader="dot" w:pos="9638"/>
      </w:tabs>
      <w:ind w:left="0" w:hanging="0"/>
    </w:pPr>
    <w:rPr/>
  </w:style>
  <w:style w:type="paragraph" w:styleId="Sumrio10">
    <w:name w:val="Sumário 10"/>
    <w:basedOn w:val="Ndice"/>
    <w:qFormat w:val="1"/>
    <w:pPr>
      <w:tabs>
        <w:tab w:val="clear" w:pos="1134"/>
        <w:tab w:val="right" w:leader="dot" w:pos="9638"/>
      </w:tabs>
      <w:ind w:left="2547" w:hanging="0"/>
    </w:pPr>
    <w:rPr/>
  </w:style>
  <w:style w:type="paragraph" w:styleId="Ttulodondicealfabtico">
    <w:name w:val="Index Heading"/>
    <w:basedOn w:val="Ttulo"/>
    <w:pPr>
      <w:suppressLineNumbers w:val="1"/>
      <w:ind w:left="0" w:hanging="0"/>
    </w:pPr>
    <w:rPr>
      <w:b w:val="1"/>
      <w:bCs w:val="1"/>
      <w:sz w:val="32"/>
      <w:szCs w:val="32"/>
    </w:rPr>
  </w:style>
  <w:style w:type="paragraph" w:styleId="TOAHeading">
    <w:name w:val="TOA Heading"/>
    <w:basedOn w:val="Ttulodondicealfabtico"/>
    <w:qFormat w:val="1"/>
    <w:pPr>
      <w:suppressLineNumbers w:val="1"/>
      <w:ind w:left="0" w:hanging="0"/>
    </w:pPr>
    <w:rPr>
      <w:b w:val="1"/>
      <w:bCs w:val="1"/>
      <w:sz w:val="32"/>
      <w:szCs w:val="32"/>
    </w:rPr>
  </w:style>
  <w:style w:type="paragraph" w:styleId="Sumrio2">
    <w:name w:val="TOC 2"/>
    <w:basedOn w:val="Ndice"/>
    <w:pPr>
      <w:tabs>
        <w:tab w:val="clear" w:pos="1134"/>
        <w:tab w:val="right" w:leader="dot" w:pos="9638"/>
      </w:tabs>
      <w:ind w:left="283" w:hanging="0"/>
    </w:pPr>
    <w:rPr/>
  </w:style>
  <w:style w:type="paragraph" w:styleId="Rodap">
    <w:name w:val="Footer"/>
    <w:basedOn w:val="CabealhoeRodap"/>
    <w:pPr>
      <w:suppressLineNumbers w:val="1"/>
    </w:pPr>
    <w:rPr/>
  </w:style>
  <w:style w:type="paragraph" w:styleId="Sumrio3">
    <w:name w:val="TOC 3"/>
    <w:basedOn w:val="Ndice"/>
    <w:pPr>
      <w:tabs>
        <w:tab w:val="clear" w:pos="1134"/>
        <w:tab w:val="right" w:leader="dot" w:pos="9638"/>
      </w:tabs>
      <w:ind w:left="566" w:hanging="0"/>
    </w:pPr>
    <w:rPr/>
  </w:style>
  <w:style w:type="paragraph" w:styleId="Sumrio4">
    <w:name w:val="TOC 4"/>
    <w:basedOn w:val="Ndice"/>
    <w:pPr>
      <w:tabs>
        <w:tab w:val="clear" w:pos="1134"/>
        <w:tab w:val="right" w:leader="dot" w:pos="9638"/>
      </w:tabs>
      <w:ind w:left="849" w:hanging="0"/>
    </w:pPr>
    <w:rPr/>
  </w:style>
  <w:style w:type="paragraph" w:styleId="Sumrio8">
    <w:name w:val="TOC 8"/>
    <w:basedOn w:val="Ndice"/>
    <w:pPr>
      <w:tabs>
        <w:tab w:val="clear" w:pos="1134"/>
        <w:tab w:val="right" w:leader="dot" w:pos="9638"/>
      </w:tabs>
      <w:ind w:left="1981" w:hanging="0"/>
    </w:pPr>
    <w:rPr/>
  </w:style>
  <w:style w:type="paragraph" w:styleId="LOnormal">
    <w:name w:val="LO-normal"/>
    <w:qFormat w:val="1"/>
    <w:pPr>
      <w:widowControl w:val="0"/>
      <w:suppressAutoHyphens w:val="1"/>
      <w:bidi w:val="0"/>
      <w:spacing w:after="0" w:before="0"/>
      <w:jc w:val="left"/>
    </w:pPr>
    <w:rPr>
      <w:rFonts w:ascii="Liberation Serif" w:cs="Liberation Serif" w:eastAsia="Liberation Serif" w:hAnsi="Liberation Serif"/>
      <w:color w:val="auto"/>
      <w:kern w:val="0"/>
      <w:sz w:val="24"/>
      <w:szCs w:val="24"/>
      <w:lang w:bidi="hi-IN" w:eastAsia="zh-CN" w:val="pt-BR"/>
    </w:rPr>
  </w:style>
  <w:style w:type="paragraph" w:styleId="LOnormal1">
    <w:name w:val="LO-normal1"/>
    <w:qFormat w:val="1"/>
    <w:pPr>
      <w:widowControl w:val="1"/>
      <w:suppressAutoHyphens w:val="1"/>
      <w:bidi w:val="0"/>
      <w:spacing w:after="200" w:before="0" w:line="276" w:lineRule="auto"/>
      <w:jc w:val="left"/>
    </w:pPr>
    <w:rPr>
      <w:rFonts w:ascii="Liberation Serif" w:cs="Tahoma" w:eastAsia="Segoe UI" w:hAnsi="Liberation Serif"/>
      <w:color w:val="000000"/>
      <w:kern w:val="0"/>
      <w:sz w:val="24"/>
      <w:szCs w:val="24"/>
      <w:lang w:bidi="hi-IN" w:eastAsia="zh-CN" w:val="pt-BR"/>
    </w:rPr>
  </w:style>
  <w:style w:type="paragraph" w:styleId="Ttulodetabela">
    <w:name w:val="Título de tabela"/>
    <w:basedOn w:val="Contedodatabela"/>
    <w:qFormat w:val="1"/>
    <w:pPr>
      <w:suppressLineNumbers w:val="1"/>
      <w:jc w:val="center"/>
    </w:pPr>
    <w:rPr>
      <w:b w:val="1"/>
      <w:bCs w:val="1"/>
    </w:rPr>
  </w:style>
  <w:style w:type="paragraph" w:styleId="Ttulodosumrio">
    <w:name w:val="TOA Heading"/>
    <w:basedOn w:val="Ttulodondicealfabtico"/>
    <w:pPr>
      <w:suppressLineNumbers w:val="1"/>
      <w:ind w:left="0" w:hanging="0"/>
    </w:pPr>
    <w:rPr>
      <w:b w:val="1"/>
      <w:bCs w:val="1"/>
      <w:sz w:val="32"/>
      <w:szCs w:val="3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55.0" w:type="dxa"/>
        <w:left w:w="55.0" w:type="dxa"/>
        <w:bottom w:w="55.0" w:type="dxa"/>
        <w:right w:w="5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0" Type="http://schemas.openxmlformats.org/officeDocument/2006/relationships/footer" Target="footer1.xml"/><Relationship Id="rId9" Type="http://schemas.openxmlformats.org/officeDocument/2006/relationships/hyperlink" Target="https://docs.google.com/document/d/1gSrDIjNVUtD7hYK0PFGW1T5n4cddnEg0/edit#heading=h.3znysh7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2.png"/><Relationship Id="rId8" Type="http://schemas.openxmlformats.org/officeDocument/2006/relationships/header" Target="header1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gSTvtI0WRnRw2wi7vxbBYlEV5fig==">AMUW2mUVePLTXPDtTOg4DXk/b1r+pyxgU/5YfL2OaJGjlUSsjuYa5NOrp2c3CeK1DEAwvnCvPEnGpu7dZ08akTWHnY7D8inELbFOwo2pP8uD6bsoPBNKr53KkUy2JI8ERNT0hHA1M8pA9j4kxtGWHZDnztaUoBB4/ntLQBzuQAKCRKM8Ubgh158JlcKC0jyhlRx4MCnT7NrVxfcP++SV0zsRPZ7di+ky5xil2/bVzQh6oVTUdVUsC2nYs14GbV05AV1CPVSQGiLK+kwmz+LNVAYm872OryTeeE20DidL8mACMhmzlxSGFNmME/6IBBojJud+ubd0pGpnFmsmLOlILlui/fq+I97iAQ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/>
</file>

<file path=docProps/custom.xml><?xml version="1.0" encoding="utf-8"?>
<Properties xmlns="http://schemas.openxmlformats.org/officeDocument/2006/custom-properties" xmlns:vt="http://schemas.openxmlformats.org/officeDocument/2006/docPropsVTypes"/>
</file>