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18"/>
        </w:rPr>
      </w:pPr>
      <w:r>
        <w:rPr>
          <w:szCs w:val="18"/>
        </w:rPr>
      </w:r>
    </w:p>
    <w:tbl>
      <w:tblPr>
        <w:tblW w:w="11101" w:type="dxa"/>
        <w:jc w:val="left"/>
        <w:tblInd w:w="-3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50"/>
        <w:gridCol w:w="1636"/>
        <w:gridCol w:w="1311"/>
        <w:gridCol w:w="2572"/>
        <w:gridCol w:w="1190"/>
        <w:gridCol w:w="1701"/>
        <w:gridCol w:w="1840"/>
      </w:tblGrid>
      <w:tr>
        <w:trPr>
          <w:trHeight w:val="567" w:hRule="exac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Data: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Processo: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Nº DL / IN</w:t>
            </w:r>
          </w:p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Contrato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Unidade Gestora: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2"/>
              <w:widowControl w:val="false"/>
              <w:ind w:right="-91" w:hanging="0"/>
              <w:rPr>
                <w:sz w:val="20"/>
                <w:szCs w:val="20"/>
              </w:rPr>
            </w:pPr>
            <w:r>
              <w:rPr>
                <w:rFonts w:cs="Arial" w:ascii="Arial" w:hAnsi="Arial"/>
                <w:bCs/>
                <w:i w:val="false"/>
                <w:sz w:val="20"/>
                <w:szCs w:val="20"/>
              </w:rPr>
              <w:t>(     ) SEA    (      ) FMPIO   (     ) FPS     (      ) FPAT</w:t>
            </w:r>
          </w:p>
        </w:tc>
      </w:tr>
      <w:tr>
        <w:trPr>
          <w:trHeight w:val="567" w:hRule="exact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Modalidade Licitação: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(       )  DISPENSA DE LICITAÇÃO     (       )   INEXIGIBILIDADE DE LICITAÇÃO</w:t>
            </w:r>
          </w:p>
        </w:tc>
      </w:tr>
      <w:tr>
        <w:trPr>
          <w:trHeight w:val="1809" w:hRule="atLeast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Objeto da Licitação: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sz w:val="20"/>
        </w:rPr>
        <w:t xml:space="preserve">DISPENSA DE LICITAÇÃO e INEXIGIBILIDADE 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sz w:val="20"/>
        </w:rPr>
        <w:t>C</w:t>
      </w:r>
      <w:r>
        <w:rPr>
          <w:rFonts w:eastAsia="MyriadPro-Regular" w:cs="Arial" w:ascii="Arial" w:hAnsi="Arial"/>
          <w:color w:val="000000"/>
          <w:sz w:val="20"/>
        </w:rPr>
        <w:t>ontratação direta Art. 75 da Lei nº 14.133/2021.</w:t>
      </w:r>
    </w:p>
    <w:p>
      <w:pPr>
        <w:pStyle w:val="Normal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tbl>
      <w:tblPr>
        <w:tblW w:w="11108" w:type="dxa"/>
        <w:jc w:val="left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46"/>
        <w:gridCol w:w="9474"/>
        <w:gridCol w:w="1188"/>
      </w:tblGrid>
      <w:tr>
        <w:trPr>
          <w:trHeight w:val="227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F9EA0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F9EA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ITENS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F9EA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S/N/NA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*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eastAsia="MyriadPro-Regular" w:cs="Arial"/>
                <w:color w:val="000000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3" w:firstLine="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000000"/>
                <w:sz w:val="20"/>
                <w:szCs w:val="20"/>
              </w:rPr>
              <w:t>Documento de oficialização da demanda - DOD, informando que a contratação será pelo PROFISCO II - SC e indicando 2 (dois) servidores com conhecimento técnico sobre a respectiva aquisição, com o objetivo de compor a comissão de avaliação de propostas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Estudo Técnico preliminar - ETP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Justificativa de ausência da realização do ETP (somente se facultativo: hipóteses no art. 8º decreto 47/2023) </w:t>
            </w:r>
            <w:r>
              <w:rPr>
                <w:rFonts w:cs="Arial" w:ascii="Arial" w:hAnsi="Arial"/>
                <w:color w:val="C9211E"/>
                <w:sz w:val="20"/>
                <w:szCs w:val="20"/>
              </w:rPr>
              <w:t>¹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b/>
                <w:b/>
                <w:bCs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b/>
                <w:bCs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Análise de riscos (Mapa de Risco)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Justificativa de ausência da realização da Análise de Riscos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Termo de Referência para Aquisições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Termo de Referência para Serviços Comuns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Anteprojeto, projeto básico ou projeto executivo, conforme o caso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Fontes de Preços, observando a Instrução Normativa nº 9/2024/SEA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Foram contemplados, no mínimo, os elementos obrigatórios (incisos I, IV, VI, VIII e XIII do §1º, art 18 NLLC) no Termo de Referência 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OU </w:t>
            </w:r>
            <w:r>
              <w:rPr>
                <w:rFonts w:ascii="Arial" w:hAnsi="Arial"/>
                <w:sz w:val="20"/>
                <w:szCs w:val="20"/>
              </w:rPr>
              <w:t xml:space="preserve">no ETP (se houver) </w:t>
            </w:r>
            <w:r>
              <w:rPr>
                <w:rFonts w:cs="Arial" w:ascii="Arial" w:hAnsi="Arial"/>
                <w:color w:val="C9211E"/>
                <w:sz w:val="20"/>
                <w:szCs w:val="20"/>
              </w:rPr>
              <w:t>²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Documento consolidando a Pesquisa de Preço, em observância Instrução Normativa nº 9/2024/SEA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Estimativa de despesa, calculada conforme Art. 23 da NLLC (§§1º, 2º e 3º) ou demonstração conforme §4º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Razão da Escolha do Contratado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3" w:firstLine="13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Justificativa de Preço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eastAsia="MyriadPro-Regular" w:cs="Arial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Justificativa para a Contratação por Inexigibilidade ou Dispensa (exceto art. 75 I e II)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Declaração de disponibilidade orçamentária - financeira, demonstrando a compatibilidade da previsão de recursos orçamentários com o compromisso a ser assumido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Comprovação de que o contratado preenche os requisitos de habilitação e qualificação mínimos necessários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</w:rPr>
            </w:pPr>
            <w:r>
              <w:rPr>
                <w:rFonts w:cs="Arial" w:ascii="Arial" w:hAnsi="Arial"/>
                <w:color w:val="auto"/>
                <w:sz w:val="20"/>
                <w:szCs w:val="20"/>
              </w:rPr>
              <w:t>Consulta prévia da relação das empresas suspensas ou impedidas de licitar ou contratar com a Administração Pública do Estado de SC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Indicação do fiscal do contrato e, se for o caso, do gestor do contrato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Autorização da Autoridade competente para a Contratação Direta e publicação DOE do aviso de dispensa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Termo de Dispensa ou Inexigibilidade e do Contrato, se for o caso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Parecer jurídico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Parecer técnico que demonstre o atendimento dos requisitos exigidos OU declaração de que o parecer não é necessário no caso concreto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Declaração de observância do art. 75, § 1º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Aprovação do plano de aquisições ou da demanda específica pelo Grupo Gestor de Governo (GGG)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Acordo de cooperação Técnica entre os órgãos partícipes do PROFISCO II - SC (disponível no processo SEF 12594/2024)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Plano de aquisições aprovado pelo Bid onde consta a aquisição ou contratação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 do contrato de Empréstimo n° 5752-oc-Br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 da política do Bid aplicada à aquisição ou contratação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Quando a contratação envolver o tratamento de dados pessoais, item de observância da LGPD (ofício circular n° 28/2021 da SEA/SC)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Cláusula anticorrupção (Instrução Normativa Conjunta CGE/SEA nº 01/2020)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Publicação do extrato do resultado no DOE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Documentos devidamente assinados e peças conferidas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Arial" w:hAnsi="Arial" w:eastAsia="MyriadPro-Regular" w:cs="Arial"/>
                <w:color w:val="28282A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28282A"/>
                <w:sz w:val="20"/>
                <w:szCs w:val="20"/>
              </w:rPr>
            </w:r>
          </w:p>
        </w:tc>
      </w:tr>
    </w:tbl>
    <w:p>
      <w:pPr>
        <w:pStyle w:val="Normal"/>
        <w:rPr>
          <w:szCs w:val="18"/>
        </w:rPr>
      </w:pPr>
      <w:r>
        <w:rPr>
          <w:b/>
          <w:bCs/>
          <w:szCs w:val="18"/>
        </w:rPr>
        <w:t>*S</w:t>
      </w:r>
      <w:r>
        <w:rPr>
          <w:b w:val="false"/>
          <w:bCs w:val="false"/>
          <w:szCs w:val="18"/>
        </w:rPr>
        <w:t xml:space="preserve"> = sim, </w:t>
      </w:r>
      <w:r>
        <w:rPr>
          <w:b/>
          <w:bCs/>
          <w:szCs w:val="18"/>
        </w:rPr>
        <w:t>N</w:t>
      </w:r>
      <w:r>
        <w:rPr>
          <w:b w:val="false"/>
          <w:bCs w:val="false"/>
          <w:szCs w:val="18"/>
        </w:rPr>
        <w:t xml:space="preserve"> = não, </w:t>
      </w:r>
      <w:r>
        <w:rPr>
          <w:b/>
          <w:bCs/>
          <w:szCs w:val="18"/>
        </w:rPr>
        <w:t>NA</w:t>
      </w:r>
      <w:r>
        <w:rPr>
          <w:b w:val="false"/>
          <w:bCs w:val="false"/>
          <w:szCs w:val="18"/>
        </w:rPr>
        <w:t xml:space="preserve"> = não se aplica. </w:t>
      </w:r>
    </w:p>
    <w:p>
      <w:pPr>
        <w:pStyle w:val="Normal"/>
        <w:rPr>
          <w:szCs w:val="18"/>
        </w:rPr>
      </w:pPr>
      <w:r>
        <w:rPr>
          <w:szCs w:val="18"/>
        </w:rPr>
      </w:r>
    </w:p>
    <w:tbl>
      <w:tblPr>
        <w:tblW w:w="11089" w:type="dxa"/>
        <w:jc w:val="left"/>
        <w:tblInd w:w="-4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0638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9F9EA0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9F9EA0" w:val="clea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ITENS COMPLEMENTARES (sem caráter desclassificatório, mas deve ser alertado)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10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Objeto da contratação definido de forma precisa, suficiente e claro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10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contratação não constitui a despesa de uma parcela de outra contratação de maior vulto que poderia ser realizada de uma só vez ou que já tem contratação em trâmite</w:t>
            </w:r>
          </w:p>
        </w:tc>
      </w:tr>
    </w:tbl>
    <w:p>
      <w:pPr>
        <w:pStyle w:val="Normal"/>
        <w:ind w:left="708" w:hanging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hanging="708"/>
        <w:rPr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u w:val="single"/>
        </w:rPr>
        <w:t>OBSERVAÇÕES:</w:t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104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03"/>
      </w:tblGrid>
      <w:tr>
        <w:trPr/>
        <w:tc>
          <w:tcPr>
            <w:tcW w:w="10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ind w:left="708" w:hanging="708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18"/>
              </w:rPr>
              <w:t xml:space="preserve">¹ 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Decreto 47/2023</w:t>
            </w:r>
          </w:p>
          <w:p>
            <w:pPr>
              <w:pStyle w:val="Corpodotexto"/>
              <w:widowControl w:val="false"/>
              <w:ind w:left="708" w:hanging="708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Art. 8º A elaboração do ETP fica facultada, mediante justificativa</w:t>
            </w: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nos casos de:</w:t>
            </w:r>
          </w:p>
          <w:p>
            <w:pPr>
              <w:pStyle w:val="Corpodotexto"/>
              <w:widowControl w:val="false"/>
              <w:spacing w:before="0" w:after="0"/>
              <w:ind w:left="0" w:right="0" w:hanging="0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contratação direta por dispensa de licitação, nos casos previstos nos incisos I, II e III do art. 75 da Lei federal nº 14.133, de 2021;</w:t>
            </w:r>
          </w:p>
          <w:p>
            <w:pPr>
              <w:pStyle w:val="Corpodotexto"/>
              <w:widowControl w:val="false"/>
              <w:spacing w:before="0" w:after="0"/>
              <w:ind w:left="0" w:right="0" w:hanging="0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II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contratação de licitante remanescente, nos termos do § 7º do art. 90 da Lei federal nº 14.133, de 2021;</w:t>
            </w:r>
          </w:p>
          <w:p>
            <w:pPr>
              <w:pStyle w:val="Corpodotexto"/>
              <w:widowControl w:val="false"/>
              <w:spacing w:before="0" w:after="0"/>
              <w:ind w:left="0" w:right="0" w:hanging="0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III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guerra, estado de defesa, estado de sítio, intervenção federal ou grave perturbação da ordem, conforme inciso VII do art. 75 da Lei federal nº 14.133, de 2021; e</w:t>
            </w:r>
          </w:p>
          <w:p>
            <w:pPr>
              <w:pStyle w:val="Corpodotexto"/>
              <w:widowControl w:val="false"/>
              <w:spacing w:before="0" w:after="0"/>
              <w:ind w:left="0" w:right="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IV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emergência ou calamidade pública, conforme inciso VIII do art. 75 da Lei federal nº 14.133, de 2021.</w:t>
            </w:r>
          </w:p>
        </w:tc>
      </w:tr>
    </w:tbl>
    <w:p>
      <w:pPr>
        <w:pStyle w:val="Corpodotexto"/>
        <w:ind w:left="708" w:hanging="708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p>
      <w:pPr>
        <w:pStyle w:val="Corpodotexto"/>
        <w:ind w:left="708" w:hanging="708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16"/>
          <w:szCs w:val="16"/>
        </w:rPr>
      </w:r>
    </w:p>
    <w:tbl>
      <w:tblPr>
        <w:tblW w:w="1040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03"/>
      </w:tblGrid>
      <w:tr>
        <w:trPr/>
        <w:tc>
          <w:tcPr>
            <w:tcW w:w="10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otexto"/>
              <w:widowControl w:val="false"/>
              <w:ind w:left="708" w:hanging="708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C9211E"/>
                <w:spacing w:val="0"/>
                <w:kern w:val="0"/>
                <w:sz w:val="18"/>
                <w:szCs w:val="18"/>
                <w:lang w:val="pt-BR" w:eastAsia="pt-BR" w:bidi="ar-SA"/>
              </w:rPr>
              <w:t>²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Lei 14.133/2021 (NLLC)</w:t>
            </w:r>
          </w:p>
          <w:p>
            <w:pPr>
              <w:pStyle w:val="Corpodotexto"/>
              <w:widowControl w:val="false"/>
              <w:ind w:left="708" w:hanging="708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Art. 18 (…) §1º</w:t>
            </w:r>
          </w:p>
          <w:p>
            <w:pPr>
              <w:pStyle w:val="Corpodotexto"/>
              <w:widowControl w:val="false"/>
              <w:ind w:left="708" w:hanging="708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I </w:t>
            </w:r>
            <w:r>
              <w:rPr>
                <w:rFonts w:cs="Arial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- descrição da necessidade da contratação, considerado o problema a ser resolvido sob a perspectiva do interesse público;</w:t>
            </w:r>
          </w:p>
          <w:p>
            <w:pPr>
              <w:pStyle w:val="Corpodotexto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IV </w:t>
            </w:r>
            <w:r>
              <w:rPr>
                <w:rFonts w:cs="Arial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- estimativas das quantidades para a contratação, acompanhadas das memórias de cálculo e dos documentos que lhes dão suporte, que considerem interdependências com outras contratações, de modo a possibilitar economia de escala;</w:t>
            </w:r>
          </w:p>
          <w:p>
            <w:pPr>
              <w:pStyle w:val="Corpodotexto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VI </w:t>
            </w:r>
            <w:r>
              <w:rPr>
                <w:rFonts w:cs="Arial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-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licitação;</w:t>
            </w:r>
          </w:p>
          <w:p>
            <w:pPr>
              <w:pStyle w:val="Corpodotexto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VIII </w:t>
            </w:r>
            <w:r>
              <w:rPr>
                <w:rFonts w:cs="Arial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- justificativas para o parcelamento ou não da contratação;</w:t>
            </w:r>
          </w:p>
          <w:p>
            <w:pPr>
              <w:pStyle w:val="Corpodotexto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XIII </w:t>
            </w:r>
            <w:r>
              <w:rPr>
                <w:rFonts w:cs="Arial"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- posicionamento conclusivo sobre a adequação da contratação para o atendimento da necessidade a que se destina.</w:t>
            </w:r>
          </w:p>
        </w:tc>
      </w:tr>
    </w:tbl>
    <w:p>
      <w:pPr>
        <w:pStyle w:val="Corpodotexto"/>
        <w:ind w:left="708" w:hanging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708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left="708" w:hanging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LINK DIAF:</w:t>
      </w:r>
    </w:p>
    <w:p>
      <w:pPr>
        <w:pStyle w:val="Normal"/>
        <w:ind w:left="708" w:hanging="708"/>
        <w:rPr>
          <w:rFonts w:ascii="Arial" w:hAnsi="Arial" w:cs="Arial"/>
          <w:sz w:val="22"/>
          <w:szCs w:val="22"/>
        </w:rPr>
      </w:pPr>
      <w:hyperlink r:id="rId2">
        <w:r>
          <mc:AlternateContent>
            <mc:Choice Requires="wps">
              <w:drawing>
                <wp:anchor behindDoc="0" distT="0" distB="0" distL="0" distR="0" simplePos="0" locked="0" layoutInCell="0" allowOverlap="1" relativeHeight="14" wp14:anchorId="3B5F68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815" cy="174625"/>
                  <wp:effectExtent l="0" t="0" r="0" b="0"/>
                  <wp:wrapNone/>
                  <wp:docPr id="1" name="Quadro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32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</w:txbxContent>
                        </wps:txbx>
                        <wps:bodyPr lIns="0" rIns="0" tIns="0" bIns="0" anchor="t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Quadro1" path="m0,0l-2147483645,0l-2147483645,-2147483646l0,-2147483646xe" stroked="f" o:allowincell="f" style="position:absolute;margin-left:0pt;margin-top:0.05pt;width:3.35pt;height:13.65pt;mso-wrap-style:none;v-text-anchor:middle" wp14:anchorId="3B5F68D0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Contedodoquadr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0" distB="0" distL="0" distR="0" simplePos="0" locked="0" layoutInCell="0" allowOverlap="1" relativeHeight="16" wp14:anchorId="2A3AC6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43815" cy="174625"/>
                  <wp:effectExtent l="0" t="0" r="0" b="0"/>
                  <wp:wrapNone/>
                  <wp:docPr id="3" name="Quadro3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3200" cy="17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dodoquadro"/>
                                <w:rPr>
                                  <w:color w:val="000000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Quadro3" path="m0,0l-2147483645,0l-2147483645,-2147483646l0,-2147483646xe" stroked="f" o:allowincell="f" style="position:absolute;margin-left:0pt;margin-top:0.05pt;width:3.35pt;height:13.65pt;mso-wrap-style:none;v-text-anchor:middle" wp14:anchorId="2A3AC690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Contedodoquadro"/>
                          <w:rPr>
                            <w:color w:val="000000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</w:r>
      </w:hyperlink>
      <w:r>
        <w:rPr>
          <w:rStyle w:val="LinkdaInternet"/>
          <w:rFonts w:cs="Arial" w:ascii="Arial" w:hAnsi="Arial"/>
          <w:sz w:val="22"/>
          <w:szCs w:val="22"/>
        </w:rPr>
        <w:t>https://compras-sc.gitbook.io/compras-sc/fase-preparatoria/contratacao-direta</w:t>
      </w:r>
    </w:p>
    <w:sectPr>
      <w:headerReference w:type="default" r:id="rId3"/>
      <w:footerReference w:type="default" r:id="rId4"/>
      <w:type w:val="nextPage"/>
      <w:pgSz w:w="11906" w:h="16838"/>
      <w:pgMar w:left="993" w:right="510" w:gutter="0" w:header="907" w:top="964" w:footer="907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b w:val="false"/>
        <w:b w:val="false"/>
        <w:sz w:val="14"/>
      </w:rPr>
    </w:pPr>
    <w:r>
      <w:rPr>
        <w:b w:val="false"/>
        <w:sz w:val="14"/>
      </w:rPr>
      <w:t>_____________________________________________________________________________________________________________________</w:t>
    </w:r>
  </w:p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  <w:t>Rod. SC 401, Km 05 – nº 4600, Bl. 02 – CEP: 88.032-510 – Florianópolis - SC</w:t>
    </w:r>
  </w:p>
  <w:p>
    <w:pPr>
      <w:pStyle w:val="Rodap"/>
      <w:ind w:right="360" w:hanging="0"/>
      <w:jc w:val="center"/>
      <w:rPr/>
    </w:pPr>
    <w:r>
      <w:rPr>
        <w:sz w:val="18"/>
        <w:szCs w:val="18"/>
      </w:rPr>
      <w:t>Secretaria de Estado da Administração - Fone: (48) 3665-1102</w:t>
    </w:r>
  </w:p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sz w:val="14"/>
      </w:rPr>
    </w:pPr>
    <w:r>
      <w:rPr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2" w:type="dxa"/>
      <w:jc w:val="left"/>
      <w:tblInd w:w="-276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1256"/>
      <w:gridCol w:w="8525"/>
    </w:tblGrid>
    <w:tr>
      <w:trPr>
        <w:cantSplit w:val="true"/>
      </w:trPr>
      <w:tc>
        <w:tcPr>
          <w:tcW w:w="1256" w:type="dxa"/>
          <w:tcBorders/>
        </w:tcPr>
        <w:p>
          <w:pPr>
            <w:pStyle w:val="Docdata"/>
            <w:widowControl w:val="false"/>
            <w:shd w:val="clear" w:color="auto" w:fill="FFFFFF"/>
            <w:spacing w:beforeAutospacing="0" w:before="280" w:afterAutospacing="0" w:after="280"/>
            <w:rPr>
              <w:b/>
              <w:b/>
              <w:bCs/>
            </w:rPr>
          </w:pPr>
          <w:r>
            <w:rPr>
              <w:b/>
              <w:bCs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13" wp14:anchorId="4CBC235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665480" cy="665480"/>
                    <wp:effectExtent l="0" t="0" r="3175" b="3175"/>
                    <wp:wrapNone/>
                    <wp:docPr id="5" name="_x005F_x0000_t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4920" cy="664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_x005F_x0000_tole_rId1" path="m0,0l-2147483645,0l-2147483645,-2147483646l0,-2147483646xe" stroked="f" o:allowincell="t" style="position:absolute;margin-left:0pt;margin-top:0.05pt;width:52.3pt;height:52.3pt;mso-wrap-style:none;v-text-anchor:middle" wp14:anchorId="4CBC2352">
                    <v:fill o:detectmouseclick="t" on="false"/>
                    <v:stroke color="#3465a4" joinstyle="round" endcap="flat"/>
                    <w10:wrap type="none"/>
                  </v:rect>
                </w:pict>
              </mc:Fallback>
            </mc:AlternateContent>
          </w:r>
        </w:p>
        <w:p>
          <w:pPr>
            <w:pStyle w:val="Cabealho"/>
            <w:widowControl w:val="false"/>
            <w:tabs>
              <w:tab w:val="left" w:pos="1985" w:leader="none"/>
              <w:tab w:val="center" w:pos="4252" w:leader="none"/>
              <w:tab w:val="right" w:pos="8504" w:leader="none"/>
            </w:tabs>
            <w:rPr>
              <w:b/>
              <w:b/>
              <w:bCs/>
              <w:sz w:val="12"/>
            </w:rPr>
          </w:pPr>
          <w:r>
            <w:rPr>
              <w:b/>
              <w:bCs/>
              <w:sz w:val="12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5" wp14:anchorId="74571E0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94615" cy="146050"/>
                    <wp:effectExtent l="0" t="0" r="0" b="0"/>
                    <wp:wrapSquare wrapText="bothSides"/>
                    <wp:docPr id="6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3960" cy="14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abealho"/>
                                  <w:widowControl w:val="false"/>
                                  <w:rPr>
                                    <w:rStyle w:val="Pagenumber"/>
                                  </w:rPr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2" path="m0,0l-2147483645,0l-2147483645,-2147483646l0,-2147483646xe" stroked="f" o:allowincell="t" style="position:absolute;margin-left:55.3pt;margin-top:0.05pt;width:7.35pt;height:11.4pt;mso-wrap-style:none;v-text-anchor:middle;mso-position-horizontal:right;mso-position-horizontal-relative:margin" wp14:anchorId="74571E02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abealho"/>
                            <w:widowControl w:val="false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</w:tc>
      <w:tc>
        <w:tcPr>
          <w:tcW w:w="8525" w:type="dxa"/>
          <w:tcBorders/>
        </w:tcPr>
        <w:p>
          <w:pPr>
            <w:pStyle w:val="Caption"/>
            <w:widowControl w:val="false"/>
            <w:ind w:hanging="0"/>
            <w:rPr>
              <w:rFonts w:cs="Arial"/>
              <w:b w:val="false"/>
              <w:b w:val="false"/>
              <w:bCs/>
              <w:sz w:val="22"/>
              <w:szCs w:val="22"/>
            </w:rPr>
          </w:pPr>
          <w:r>
            <w:rPr>
              <w:rFonts w:cs="Arial"/>
              <w:b w:val="false"/>
              <w:bCs/>
              <w:sz w:val="22"/>
              <w:szCs w:val="22"/>
            </w:rPr>
            <w:t>ESTADO DE SANTA CATARINA</w:t>
          </w:r>
        </w:p>
        <w:p>
          <w:pPr>
            <w:pStyle w:val="Ttulo2"/>
            <w:widowControl w:val="false"/>
            <w:ind w:right="-91" w:hanging="0"/>
            <w:rPr>
              <w:rFonts w:ascii="Arial" w:hAnsi="Arial" w:cs="Arial"/>
              <w:bCs/>
              <w:i w:val="false"/>
              <w:i w:val="false"/>
              <w:sz w:val="22"/>
              <w:szCs w:val="22"/>
            </w:rPr>
          </w:pPr>
          <w:r>
            <w:rPr>
              <w:rFonts w:cs="Arial" w:ascii="Arial" w:hAnsi="Arial"/>
              <w:bCs/>
              <w:i w:val="false"/>
              <w:sz w:val="22"/>
              <w:szCs w:val="22"/>
            </w:rPr>
            <w:t>SECRETARIA DE ESTADO DA ADMINISTRAÇÃO</w:t>
          </w:r>
        </w:p>
        <w:p>
          <w:pPr>
            <w:pStyle w:val="Ttulo2"/>
            <w:widowControl w:val="false"/>
            <w:ind w:right="-91" w:hanging="0"/>
            <w:rPr>
              <w:b/>
              <w:b/>
              <w:i w:val="false"/>
              <w:i w:val="false"/>
              <w:szCs w:val="24"/>
            </w:rPr>
          </w:pPr>
          <w:r>
            <w:rPr>
              <w:rFonts w:cs="Arial" w:ascii="Arial" w:hAnsi="Arial"/>
              <w:bCs/>
              <w:i w:val="false"/>
              <w:sz w:val="22"/>
              <w:szCs w:val="22"/>
            </w:rPr>
            <w:t>COORDENADORIA DE CONTROLE INTERNO E OUVIDORIA</w:t>
          </w:r>
        </w:p>
      </w:tc>
    </w:tr>
  </w:tbl>
  <w:p>
    <w:pPr>
      <w:pStyle w:val="Cabealho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-144780</wp:posOffset>
          </wp:positionH>
          <wp:positionV relativeFrom="paragraph">
            <wp:posOffset>-562610</wp:posOffset>
          </wp:positionV>
          <wp:extent cx="553085" cy="609600"/>
          <wp:effectExtent l="0" t="0" r="0" b="0"/>
          <wp:wrapNone/>
          <wp:docPr id="8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4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4a143c"/>
    <w:pPr>
      <w:keepNext w:val="true"/>
      <w:outlineLvl w:val="1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link w:val="Ttulo2"/>
    <w:qFormat/>
    <w:rsid w:val="004a143c"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styleId="CabealhoChar" w:customStyle="1">
    <w:name w:val="Cabeçalho Char"/>
    <w:link w:val="Cabealho"/>
    <w:qFormat/>
    <w:rsid w:val="004a143c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link w:val="Corpodetexto"/>
    <w:semiHidden/>
    <w:qFormat/>
    <w:rsid w:val="004a143c"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link w:val="Rodap"/>
    <w:qFormat/>
    <w:rsid w:val="004a143c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Recuodecorpodetexto2Char" w:customStyle="1">
    <w:name w:val="Recuo de corpo de texto 2 Char"/>
    <w:link w:val="Recuodecorpodetexto2"/>
    <w:semiHidden/>
    <w:qFormat/>
    <w:rsid w:val="004a143c"/>
    <w:rPr>
      <w:rFonts w:ascii="Arial" w:hAnsi="Arial" w:eastAsia="Times New Roman" w:cs="Times New Roman"/>
      <w:b/>
      <w:i/>
      <w:sz w:val="26"/>
      <w:szCs w:val="20"/>
      <w:lang w:eastAsia="pt-BR"/>
    </w:rPr>
  </w:style>
  <w:style w:type="character" w:styleId="Pagenumber">
    <w:name w:val="page number"/>
    <w:semiHidden/>
    <w:qFormat/>
    <w:rsid w:val="004a143c"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1678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78b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semiHidden/>
    <w:rsid w:val="004a143c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next w:val="Normal"/>
    <w:qFormat/>
    <w:rsid w:val="004a143c"/>
    <w:pPr>
      <w:ind w:firstLine="720"/>
    </w:pPr>
    <w:rPr>
      <w:rFonts w:ascii="Arial" w:hAnsi="Arial"/>
      <w:b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4a143c"/>
    <w:pPr>
      <w:tabs>
        <w:tab w:val="clear" w:pos="708"/>
        <w:tab w:val="center" w:pos="4252" w:leader="none"/>
        <w:tab w:val="right" w:pos="8504" w:leader="none"/>
      </w:tabs>
    </w:pPr>
    <w:rPr>
      <w:sz w:val="20"/>
    </w:rPr>
  </w:style>
  <w:style w:type="paragraph" w:styleId="Rodap">
    <w:name w:val="Footer"/>
    <w:basedOn w:val="Normal"/>
    <w:link w:val="RodapChar"/>
    <w:rsid w:val="004a143c"/>
    <w:pPr>
      <w:tabs>
        <w:tab w:val="clear" w:pos="708"/>
        <w:tab w:val="center" w:pos="4419" w:leader="none"/>
        <w:tab w:val="right" w:pos="8838" w:leader="none"/>
      </w:tabs>
    </w:pPr>
    <w:rPr>
      <w:sz w:val="28"/>
    </w:rPr>
  </w:style>
  <w:style w:type="paragraph" w:styleId="BodyTextIndent2">
    <w:name w:val="Body Text Indent 2"/>
    <w:basedOn w:val="Normal"/>
    <w:link w:val="Recuodecorpodetexto2Char"/>
    <w:semiHidden/>
    <w:qFormat/>
    <w:rsid w:val="004a143c"/>
    <w:pPr>
      <w:ind w:left="1701" w:hanging="0"/>
      <w:jc w:val="both"/>
    </w:pPr>
    <w:rPr>
      <w:rFonts w:ascii="Arial" w:hAnsi="Arial"/>
      <w:b/>
      <w:i/>
      <w:sz w:val="26"/>
    </w:rPr>
  </w:style>
  <w:style w:type="paragraph" w:styleId="ListParagraph">
    <w:name w:val="List Paragraph"/>
    <w:basedOn w:val="Normal"/>
    <w:uiPriority w:val="34"/>
    <w:qFormat/>
    <w:rsid w:val="004a143c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5d6961"/>
    <w:pPr>
      <w:spacing w:beforeAutospacing="1" w:after="119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979f0"/>
    <w:pPr>
      <w:spacing w:beforeAutospacing="1" w:after="119"/>
    </w:pPr>
    <w:rPr>
      <w:szCs w:val="24"/>
    </w:rPr>
  </w:style>
  <w:style w:type="paragraph" w:styleId="Standard" w:customStyle="1">
    <w:name w:val="Standard"/>
    <w:qFormat/>
    <w:rsid w:val="00103f00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Normal"/>
    <w:qFormat/>
    <w:pPr/>
    <w:rPr/>
  </w:style>
  <w:style w:type="paragraph" w:styleId="Docdata" w:customStyle="1">
    <w:name w:val="docdata"/>
    <w:basedOn w:val="Normal"/>
    <w:qFormat/>
    <w:rsid w:val="001a0986"/>
    <w:pPr>
      <w:suppressAutoHyphens w:val="false"/>
      <w:spacing w:beforeAutospacing="1" w:afterAutospacing="1"/>
    </w:pPr>
    <w:rPr>
      <w:szCs w:val="24"/>
    </w:rPr>
  </w:style>
  <w:style w:type="paragraph" w:styleId="Textbody" w:customStyle="1">
    <w:name w:val="Text body"/>
    <w:basedOn w:val="Normal"/>
    <w:qFormat/>
    <w:rsid w:val="00906b6d"/>
    <w:pPr>
      <w:jc w:val="both"/>
      <w:textAlignment w:val="baseline"/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96ca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mpras-sc.gitbook.io/compras-sc/fase-preparatoria/contratacao-direta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361F-C0DE-432E-821A-FD07981C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LibreOffice/7.2.7.2$Windows_X86_64 LibreOffice_project/8d71d29d553c0f7dcbfa38fbfda25ee34cce99a2</Application>
  <AppVersion>15.0000</AppVersion>
  <DocSecurity>0</DocSecurity>
  <Pages>3</Pages>
  <Words>845</Words>
  <Characters>4572</Characters>
  <CharactersWithSpaces>5366</CharactersWithSpaces>
  <Paragraphs>107</Paragraphs>
  <Company>SEA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2024-04-09T15:53:00Z</dcterms:created>
  <dc:creator>Luana Bayestorff</dc:creator>
  <dc:description/>
  <dc:language>pt-BR</dc:language>
  <cp:lastModifiedBy/>
  <cp:lastPrinted>2018-04-13T16:58:00Z</cp:lastPrinted>
  <dcterms:modified xsi:type="dcterms:W3CDTF">2025-09-26T14:59:55Z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