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E1AC" w14:textId="77777777" w:rsidR="00356404" w:rsidRDefault="00356404" w:rsidP="00654DD8">
      <w:pPr>
        <w:pStyle w:val="Textbody"/>
        <w:tabs>
          <w:tab w:val="left" w:pos="2081"/>
        </w:tabs>
        <w:ind w:left="-142"/>
        <w:jc w:val="center"/>
        <w:rPr>
          <w:rFonts w:ascii="Arial" w:hAnsi="Arial" w:cs="Arial"/>
          <w:b/>
          <w:szCs w:val="24"/>
        </w:rPr>
      </w:pPr>
    </w:p>
    <w:p w14:paraId="601DBEAD" w14:textId="315CB6FD" w:rsidR="00D75B0B" w:rsidRDefault="00000000" w:rsidP="00654DD8">
      <w:pPr>
        <w:pStyle w:val="Textbody"/>
        <w:tabs>
          <w:tab w:val="left" w:pos="2081"/>
        </w:tabs>
        <w:ind w:left="-142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CHECKLIST </w:t>
      </w:r>
      <w:r w:rsidR="00557FBD">
        <w:rPr>
          <w:rFonts w:ascii="Arial" w:hAnsi="Arial" w:cs="Arial"/>
          <w:b/>
          <w:szCs w:val="24"/>
        </w:rPr>
        <w:t>DE PAGAMENTO</w:t>
      </w:r>
      <w:r w:rsidR="005C78A1">
        <w:rPr>
          <w:rFonts w:ascii="Arial" w:hAnsi="Arial" w:cs="Arial"/>
          <w:b/>
          <w:szCs w:val="24"/>
        </w:rPr>
        <w:t>S</w:t>
      </w:r>
      <w:r w:rsidR="00654DD8">
        <w:rPr>
          <w:rFonts w:ascii="Arial" w:hAnsi="Arial" w:cs="Arial"/>
          <w:b/>
          <w:szCs w:val="24"/>
        </w:rPr>
        <w:t xml:space="preserve"> DE RETROATIVOS POR DECISÃO </w:t>
      </w:r>
      <w:r w:rsidR="005C78A1">
        <w:rPr>
          <w:rFonts w:ascii="Arial" w:hAnsi="Arial" w:cs="Arial"/>
          <w:b/>
          <w:szCs w:val="24"/>
        </w:rPr>
        <w:t>JUDICIAL</w:t>
      </w:r>
    </w:p>
    <w:p w14:paraId="6006EF28" w14:textId="478A59A6" w:rsidR="00557FBD" w:rsidRPr="00BA3FCF" w:rsidRDefault="00557FBD">
      <w:pPr>
        <w:pStyle w:val="Textbody"/>
        <w:ind w:left="-142"/>
        <w:jc w:val="center"/>
        <w:rPr>
          <w:rFonts w:ascii="Arial" w:hAnsi="Arial" w:cs="Arial"/>
          <w:bCs/>
          <w:szCs w:val="24"/>
        </w:rPr>
      </w:pPr>
      <w:r w:rsidRPr="00BA3FCF">
        <w:rPr>
          <w:rFonts w:ascii="Arial" w:hAnsi="Arial" w:cs="Arial"/>
          <w:bCs/>
          <w:szCs w:val="24"/>
        </w:rPr>
        <w:t xml:space="preserve">(Modelo ANEXO </w:t>
      </w:r>
      <w:r w:rsidR="00654DD8">
        <w:rPr>
          <w:rFonts w:ascii="Arial" w:hAnsi="Arial" w:cs="Arial"/>
          <w:bCs/>
          <w:szCs w:val="24"/>
        </w:rPr>
        <w:t>V</w:t>
      </w:r>
      <w:r w:rsidR="00984EF6">
        <w:rPr>
          <w:rFonts w:ascii="Arial" w:hAnsi="Arial" w:cs="Arial"/>
          <w:bCs/>
          <w:szCs w:val="24"/>
        </w:rPr>
        <w:t xml:space="preserve"> -</w:t>
      </w:r>
      <w:r w:rsidRPr="00BA3FCF">
        <w:rPr>
          <w:rFonts w:ascii="Arial" w:hAnsi="Arial" w:cs="Arial"/>
          <w:bCs/>
          <w:szCs w:val="24"/>
        </w:rPr>
        <w:t xml:space="preserve"> Manual CGE)</w:t>
      </w:r>
    </w:p>
    <w:p w14:paraId="7028D560" w14:textId="77777777" w:rsidR="00D75B0B" w:rsidRDefault="00D75B0B">
      <w:pPr>
        <w:pStyle w:val="Textbody"/>
        <w:ind w:left="-142"/>
        <w:jc w:val="center"/>
        <w:rPr>
          <w:rFonts w:ascii="Arial" w:hAnsi="Arial" w:cs="Arial"/>
          <w:b/>
          <w:sz w:val="18"/>
          <w:szCs w:val="18"/>
        </w:rPr>
      </w:pPr>
    </w:p>
    <w:p w14:paraId="15343243" w14:textId="77777777" w:rsidR="00D75B0B" w:rsidRDefault="00D75B0B">
      <w:pPr>
        <w:pStyle w:val="Textbody"/>
        <w:ind w:left="-142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0" w:type="auto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21"/>
        <w:gridCol w:w="1985"/>
        <w:gridCol w:w="850"/>
        <w:gridCol w:w="851"/>
      </w:tblGrid>
      <w:tr w:rsidR="005C78A1" w:rsidRPr="00B551CC" w14:paraId="6A70D68E" w14:textId="77777777" w:rsidTr="00A25FF2">
        <w:trPr>
          <w:trHeight w:val="399"/>
        </w:trPr>
        <w:tc>
          <w:tcPr>
            <w:tcW w:w="6521" w:type="dxa"/>
            <w:shd w:val="clear" w:color="auto" w:fill="A8D08D" w:themeFill="accent6" w:themeFillTint="99"/>
            <w:vAlign w:val="center"/>
          </w:tcPr>
          <w:p w14:paraId="2519B7B1" w14:textId="4785D6DC" w:rsidR="005C78A1" w:rsidRPr="00B551CC" w:rsidRDefault="005C78A1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Checklist implantação decisão judicial</w:t>
            </w:r>
          </w:p>
        </w:tc>
        <w:tc>
          <w:tcPr>
            <w:tcW w:w="1985" w:type="dxa"/>
            <w:shd w:val="clear" w:color="auto" w:fill="A8D08D" w:themeFill="accent6" w:themeFillTint="99"/>
            <w:vAlign w:val="center"/>
          </w:tcPr>
          <w:p w14:paraId="66A8B78C" w14:textId="69AD1363" w:rsidR="005C78A1" w:rsidRPr="00B551CC" w:rsidRDefault="005C78A1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1CC">
              <w:rPr>
                <w:rFonts w:ascii="Arial" w:hAnsi="Arial" w:cs="Arial"/>
                <w:b/>
                <w:bCs/>
                <w:sz w:val="18"/>
                <w:szCs w:val="18"/>
              </w:rPr>
              <w:t>Base Legal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0B406F9E" w14:textId="3AA361CC" w:rsidR="005C78A1" w:rsidRPr="00B551CC" w:rsidRDefault="005C78A1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851" w:type="dxa"/>
            <w:shd w:val="clear" w:color="auto" w:fill="A8D08D" w:themeFill="accent6" w:themeFillTint="99"/>
            <w:vAlign w:val="center"/>
          </w:tcPr>
          <w:p w14:paraId="72C0D323" w14:textId="242291FB" w:rsidR="005C78A1" w:rsidRPr="00B551CC" w:rsidRDefault="005C78A1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NÃO</w:t>
            </w:r>
          </w:p>
        </w:tc>
      </w:tr>
      <w:tr w:rsidR="005C78A1" w:rsidRPr="00B551CC" w14:paraId="529F9B35" w14:textId="77777777" w:rsidTr="00A25FF2">
        <w:tc>
          <w:tcPr>
            <w:tcW w:w="6521" w:type="dxa"/>
          </w:tcPr>
          <w:p w14:paraId="5F4295C1" w14:textId="1A0678BA" w:rsidR="005C78A1" w:rsidRPr="00B551CC" w:rsidRDefault="00E065A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065A0">
              <w:rPr>
                <w:rFonts w:ascii="Arial" w:hAnsi="Arial" w:cs="Arial"/>
                <w:sz w:val="18"/>
                <w:szCs w:val="18"/>
              </w:rPr>
              <w:t>1) O servidor tinha direito ao benefício? Verificar decisão judicial concessiva.</w:t>
            </w:r>
          </w:p>
        </w:tc>
        <w:tc>
          <w:tcPr>
            <w:tcW w:w="1985" w:type="dxa"/>
          </w:tcPr>
          <w:p w14:paraId="1877FA83" w14:textId="1823DD42" w:rsidR="005C78A1" w:rsidRPr="00B551CC" w:rsidRDefault="00E065A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065A0">
              <w:rPr>
                <w:rFonts w:ascii="Arial" w:hAnsi="Arial" w:cs="Arial"/>
                <w:sz w:val="18"/>
                <w:szCs w:val="18"/>
              </w:rPr>
              <w:t>IN 001/2024/SEA/ SEF/PGE/IPREV</w:t>
            </w:r>
          </w:p>
        </w:tc>
        <w:tc>
          <w:tcPr>
            <w:tcW w:w="850" w:type="dxa"/>
          </w:tcPr>
          <w:p w14:paraId="4DD22E8F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4DD234A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78A1" w:rsidRPr="00B551CC" w14:paraId="3A445F85" w14:textId="77777777" w:rsidTr="00A25FF2">
        <w:tc>
          <w:tcPr>
            <w:tcW w:w="6521" w:type="dxa"/>
          </w:tcPr>
          <w:p w14:paraId="50122B7A" w14:textId="1E1231ED" w:rsidR="005C78A1" w:rsidRPr="00B551CC" w:rsidRDefault="00E065A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065A0">
              <w:rPr>
                <w:rFonts w:ascii="Arial" w:hAnsi="Arial" w:cs="Arial"/>
                <w:sz w:val="18"/>
                <w:szCs w:val="18"/>
              </w:rPr>
              <w:t>2) Foi emitida informação demonstrando a metodologia utilizada para apuração dos valores e o fundamento legal?</w:t>
            </w:r>
          </w:p>
        </w:tc>
        <w:tc>
          <w:tcPr>
            <w:tcW w:w="1985" w:type="dxa"/>
          </w:tcPr>
          <w:p w14:paraId="641ABE63" w14:textId="5DBED68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06B859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85E71E6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78A1" w:rsidRPr="00B551CC" w14:paraId="1428FC52" w14:textId="77777777" w:rsidTr="00A25FF2">
        <w:tc>
          <w:tcPr>
            <w:tcW w:w="6521" w:type="dxa"/>
          </w:tcPr>
          <w:p w14:paraId="6C11386C" w14:textId="157B3DC1" w:rsidR="005C78A1" w:rsidRPr="00B551CC" w:rsidRDefault="00E065A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065A0">
              <w:rPr>
                <w:rFonts w:ascii="Arial" w:hAnsi="Arial" w:cs="Arial"/>
                <w:sz w:val="18"/>
                <w:szCs w:val="18"/>
              </w:rPr>
              <w:t>3) Foi emitida a ficha financeira do período de apuração?</w:t>
            </w:r>
          </w:p>
        </w:tc>
        <w:tc>
          <w:tcPr>
            <w:tcW w:w="1985" w:type="dxa"/>
          </w:tcPr>
          <w:p w14:paraId="6BAE6F88" w14:textId="0918AD1A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F9AE9E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FA04FFB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78A1" w:rsidRPr="00B551CC" w14:paraId="6BAC047B" w14:textId="77777777" w:rsidTr="00A25FF2">
        <w:tc>
          <w:tcPr>
            <w:tcW w:w="6521" w:type="dxa"/>
          </w:tcPr>
          <w:p w14:paraId="036488BF" w14:textId="2D1886F2" w:rsidR="005C78A1" w:rsidRPr="00B551CC" w:rsidRDefault="00E065A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065A0">
              <w:rPr>
                <w:rFonts w:ascii="Arial" w:hAnsi="Arial" w:cs="Arial"/>
                <w:sz w:val="18"/>
                <w:szCs w:val="18"/>
              </w:rPr>
              <w:t>4) Foi elaborada planilha de cálculo dos valores percebidos e devidos, apurando o valor nominal mensal a ser pago por código de provento?</w:t>
            </w:r>
          </w:p>
        </w:tc>
        <w:tc>
          <w:tcPr>
            <w:tcW w:w="1985" w:type="dxa"/>
          </w:tcPr>
          <w:p w14:paraId="42DEA848" w14:textId="09721695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2EAA207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4BCD7B4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78A1" w:rsidRPr="00B551CC" w14:paraId="7B88013F" w14:textId="77777777" w:rsidTr="00A25FF2">
        <w:tc>
          <w:tcPr>
            <w:tcW w:w="6521" w:type="dxa"/>
          </w:tcPr>
          <w:p w14:paraId="4134D8B2" w14:textId="6C0D3A09" w:rsidR="005C78A1" w:rsidRPr="00B551CC" w:rsidRDefault="00E065A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065A0">
              <w:rPr>
                <w:rFonts w:ascii="Arial" w:hAnsi="Arial" w:cs="Arial"/>
                <w:sz w:val="18"/>
                <w:szCs w:val="18"/>
              </w:rPr>
              <w:t>5) Foi emitida informação demonstrando a metodologia utilizada na apuração dos valores, inclusive com o fundamento legal e a clareza da conquista do direito?</w:t>
            </w:r>
          </w:p>
        </w:tc>
        <w:tc>
          <w:tcPr>
            <w:tcW w:w="1985" w:type="dxa"/>
          </w:tcPr>
          <w:p w14:paraId="236A01CD" w14:textId="0DA394C5" w:rsidR="005C78A1" w:rsidRPr="00B551CC" w:rsidRDefault="00E065A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065A0">
              <w:rPr>
                <w:rFonts w:ascii="Arial" w:hAnsi="Arial" w:cs="Arial"/>
                <w:sz w:val="18"/>
                <w:szCs w:val="18"/>
              </w:rPr>
              <w:t>IN 001/2024/SEA/ SEF/PGE/IPREV</w:t>
            </w:r>
          </w:p>
        </w:tc>
        <w:tc>
          <w:tcPr>
            <w:tcW w:w="850" w:type="dxa"/>
          </w:tcPr>
          <w:p w14:paraId="34D3E6D9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784C50B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78A1" w:rsidRPr="00B551CC" w14:paraId="79EAEF88" w14:textId="77777777" w:rsidTr="00A25FF2">
        <w:tc>
          <w:tcPr>
            <w:tcW w:w="6521" w:type="dxa"/>
          </w:tcPr>
          <w:p w14:paraId="2BA4CE51" w14:textId="26F1424A" w:rsidR="005C78A1" w:rsidRPr="00B551CC" w:rsidRDefault="00E065A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065A0">
              <w:rPr>
                <w:rFonts w:ascii="Arial" w:hAnsi="Arial" w:cs="Arial"/>
                <w:sz w:val="18"/>
                <w:szCs w:val="18"/>
              </w:rPr>
              <w:t>6) Houve autuação no SGP-e com cópia da decisão judicial e da documentação pertinente.</w:t>
            </w:r>
          </w:p>
        </w:tc>
        <w:tc>
          <w:tcPr>
            <w:tcW w:w="1985" w:type="dxa"/>
          </w:tcPr>
          <w:p w14:paraId="6C8BB9C9" w14:textId="73BAB75E" w:rsidR="005C78A1" w:rsidRPr="00B551CC" w:rsidRDefault="00E065A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065A0">
              <w:rPr>
                <w:rFonts w:ascii="Arial" w:hAnsi="Arial" w:cs="Arial"/>
                <w:sz w:val="18"/>
                <w:szCs w:val="18"/>
              </w:rPr>
              <w:t>IN 001/2024/SEA/ SEF/PGE/IPREV</w:t>
            </w:r>
          </w:p>
        </w:tc>
        <w:tc>
          <w:tcPr>
            <w:tcW w:w="850" w:type="dxa"/>
          </w:tcPr>
          <w:p w14:paraId="47635558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1ACB6BB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78A1" w:rsidRPr="00B551CC" w14:paraId="4F25745B" w14:textId="77777777" w:rsidTr="00A25FF2">
        <w:tc>
          <w:tcPr>
            <w:tcW w:w="6521" w:type="dxa"/>
          </w:tcPr>
          <w:p w14:paraId="1E2A7994" w14:textId="6B846EBC" w:rsidR="005C78A1" w:rsidRPr="00B551CC" w:rsidRDefault="00E065A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065A0">
              <w:rPr>
                <w:rFonts w:ascii="Arial" w:hAnsi="Arial" w:cs="Arial"/>
                <w:sz w:val="18"/>
                <w:szCs w:val="18"/>
              </w:rPr>
              <w:t>7) Houve encaminhamento dos autos à autoridade competente do órgão ou entidade para manifestação (assinatura)? Períodos de apuração variam conforme o rito processual de cada ação.</w:t>
            </w:r>
          </w:p>
        </w:tc>
        <w:tc>
          <w:tcPr>
            <w:tcW w:w="1985" w:type="dxa"/>
          </w:tcPr>
          <w:p w14:paraId="5E86F350" w14:textId="4BCC4A5B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A312803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2F36990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78A1" w:rsidRPr="00B551CC" w14:paraId="3CFB5B7D" w14:textId="77777777" w:rsidTr="00A25FF2">
        <w:tc>
          <w:tcPr>
            <w:tcW w:w="6521" w:type="dxa"/>
          </w:tcPr>
          <w:p w14:paraId="512F2E0E" w14:textId="2DD6BA5A" w:rsidR="005C78A1" w:rsidRPr="00B551CC" w:rsidRDefault="00E065A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065A0">
              <w:rPr>
                <w:rFonts w:ascii="Arial" w:hAnsi="Arial" w:cs="Arial"/>
                <w:sz w:val="18"/>
                <w:szCs w:val="18"/>
              </w:rPr>
              <w:t>8) Em caso de medida liminar proferida em mandado de segurança, o termo inicial do período de apuração corresponde ao mês de impetração?</w:t>
            </w:r>
          </w:p>
        </w:tc>
        <w:tc>
          <w:tcPr>
            <w:tcW w:w="1985" w:type="dxa"/>
          </w:tcPr>
          <w:p w14:paraId="1A06BCDC" w14:textId="6E60EDAC" w:rsidR="005C78A1" w:rsidRPr="00B551CC" w:rsidRDefault="005C78A1" w:rsidP="008530E6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87FB5F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50EA062A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78A1" w:rsidRPr="00B551CC" w14:paraId="1B305487" w14:textId="77777777" w:rsidTr="00A25FF2">
        <w:tc>
          <w:tcPr>
            <w:tcW w:w="6521" w:type="dxa"/>
          </w:tcPr>
          <w:p w14:paraId="44F666DB" w14:textId="6082E75E" w:rsidR="005C78A1" w:rsidRPr="00B551CC" w:rsidRDefault="00E065A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065A0">
              <w:rPr>
                <w:rFonts w:ascii="Arial" w:hAnsi="Arial" w:cs="Arial"/>
                <w:sz w:val="18"/>
                <w:szCs w:val="18"/>
              </w:rPr>
              <w:t>9) Em caso de concessão de segurança em julgamento de mérito em mandado de segurança sem que haja a concessão da medida liminar, o termo inicial do período de apuração corresponde ao mês de publicação da sentença ou do acórdão?</w:t>
            </w:r>
          </w:p>
        </w:tc>
        <w:tc>
          <w:tcPr>
            <w:tcW w:w="1985" w:type="dxa"/>
          </w:tcPr>
          <w:p w14:paraId="3BD4C6BC" w14:textId="43FF4858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D8F8B4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44E4EC3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78A1" w:rsidRPr="00B551CC" w14:paraId="06DE4C28" w14:textId="77777777" w:rsidTr="00A25FF2">
        <w:tc>
          <w:tcPr>
            <w:tcW w:w="6521" w:type="dxa"/>
          </w:tcPr>
          <w:p w14:paraId="5E32B7B0" w14:textId="1E68AE4E" w:rsidR="005C78A1" w:rsidRPr="00B551CC" w:rsidRDefault="00AD3038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038">
              <w:rPr>
                <w:rFonts w:ascii="Arial" w:hAnsi="Arial" w:cs="Arial"/>
                <w:sz w:val="18"/>
                <w:szCs w:val="18"/>
              </w:rPr>
              <w:t>10) Verificar no caso de medidas liminares em antecipação de tutela, se o termo inicial do período de apuração foi o fixado pelo magistrado.</w:t>
            </w:r>
          </w:p>
        </w:tc>
        <w:tc>
          <w:tcPr>
            <w:tcW w:w="1985" w:type="dxa"/>
          </w:tcPr>
          <w:p w14:paraId="5ABDC15D" w14:textId="61ABE51B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AFF23D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4F36DD8D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78A1" w:rsidRPr="00B551CC" w14:paraId="10654E26" w14:textId="77777777" w:rsidTr="00A25FF2">
        <w:tc>
          <w:tcPr>
            <w:tcW w:w="6521" w:type="dxa"/>
          </w:tcPr>
          <w:p w14:paraId="77E5BEA3" w14:textId="781B540B" w:rsidR="005C78A1" w:rsidRPr="00B551CC" w:rsidRDefault="00AD3038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038">
              <w:rPr>
                <w:rFonts w:ascii="Arial" w:hAnsi="Arial" w:cs="Arial"/>
                <w:sz w:val="18"/>
                <w:szCs w:val="18"/>
              </w:rPr>
              <w:t>11) No caso de outros tipos de ação, verificar se o termo inicial do período de apuração correspondeu ao mês do trânsito em julgado da sentença.</w:t>
            </w:r>
          </w:p>
        </w:tc>
        <w:tc>
          <w:tcPr>
            <w:tcW w:w="1985" w:type="dxa"/>
          </w:tcPr>
          <w:p w14:paraId="43CF6628" w14:textId="094DA1C4" w:rsidR="005C78A1" w:rsidRPr="00B551CC" w:rsidRDefault="00AD3038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D3038">
              <w:rPr>
                <w:rFonts w:ascii="Arial" w:hAnsi="Arial" w:cs="Arial"/>
                <w:sz w:val="18"/>
                <w:szCs w:val="18"/>
              </w:rPr>
              <w:t>IN 001/2024/SEA/ SEF/PGE/IPREV</w:t>
            </w:r>
          </w:p>
        </w:tc>
        <w:tc>
          <w:tcPr>
            <w:tcW w:w="850" w:type="dxa"/>
          </w:tcPr>
          <w:p w14:paraId="068ED896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5607494" w14:textId="77777777" w:rsidR="005C78A1" w:rsidRPr="00B551CC" w:rsidRDefault="005C78A1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E78DF0D" w14:textId="77777777" w:rsidR="00D75B0B" w:rsidRDefault="00D75B0B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14:paraId="0CD736CA" w14:textId="77777777" w:rsidR="00D75B0B" w:rsidRDefault="00D75B0B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1E6C0E57" w14:textId="6C8A26BD" w:rsidR="00C1071A" w:rsidRDefault="00E762B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E065A0" w:rsidRPr="00E065A0">
        <w:rPr>
          <w:rFonts w:ascii="Arial" w:hAnsi="Arial" w:cs="Arial"/>
          <w:sz w:val="18"/>
          <w:szCs w:val="18"/>
        </w:rPr>
        <w:t>Os campos sem base legal são atividades previstas na IN 001/2006/SEA/SEF/PGE/IPESC, revogada pela IN 001/2024/SEA/SEF/PGE/IPREV. Sugerimos que, ao avaliar os pagamentos de retroativos, seja verificado se os procedimentos foram mantidos pela SEA e se são pertinentes.</w:t>
      </w:r>
    </w:p>
    <w:p w14:paraId="5C89B7A0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71FB398E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05945F9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0A8C2DFF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1EC16CF4" w14:textId="77777777" w:rsidR="00D75B0B" w:rsidRDefault="00000000">
      <w:pPr>
        <w:pStyle w:val="Standard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</w:t>
      </w:r>
    </w:p>
    <w:p w14:paraId="7D7DA115" w14:textId="77777777" w:rsidR="00D75B0B" w:rsidRDefault="00000000">
      <w:pPr>
        <w:pStyle w:val="Standard"/>
        <w:jc w:val="center"/>
      </w:pPr>
      <w:r>
        <w:rPr>
          <w:rFonts w:ascii="Arial" w:hAnsi="Arial" w:cs="Arial"/>
          <w:sz w:val="18"/>
          <w:szCs w:val="18"/>
        </w:rPr>
        <w:t>Coordenadoria Controle Interno e Ouvidoria SEA</w:t>
      </w:r>
    </w:p>
    <w:sectPr w:rsidR="00D75B0B">
      <w:headerReference w:type="default" r:id="rId7"/>
      <w:footerReference w:type="default" r:id="rId8"/>
      <w:pgSz w:w="11906" w:h="16838"/>
      <w:pgMar w:top="964" w:right="510" w:bottom="964" w:left="993" w:header="907" w:footer="907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8CC8" w14:textId="77777777" w:rsidR="00B446AD" w:rsidRDefault="00B446AD">
      <w:r>
        <w:separator/>
      </w:r>
    </w:p>
  </w:endnote>
  <w:endnote w:type="continuationSeparator" w:id="0">
    <w:p w14:paraId="388A1816" w14:textId="77777777" w:rsidR="00B446AD" w:rsidRDefault="00B4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AAFF" w14:textId="77777777" w:rsidR="00D75B0B" w:rsidRDefault="00000000">
    <w:pPr>
      <w:pStyle w:val="Recuodecorpodetexto2"/>
      <w:tabs>
        <w:tab w:val="left" w:pos="0"/>
      </w:tabs>
      <w:ind w:left="0"/>
      <w:jc w:val="center"/>
      <w:rPr>
        <w:b w:val="0"/>
        <w:sz w:val="14"/>
      </w:rPr>
    </w:pPr>
    <w:r>
      <w:rPr>
        <w:b w:val="0"/>
        <w:sz w:val="14"/>
      </w:rPr>
      <w:t>_____________________________________________________________________________________________________________________</w:t>
    </w:r>
  </w:p>
  <w:p w14:paraId="15C4CBCF" w14:textId="77777777" w:rsidR="00D75B0B" w:rsidRDefault="00000000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Rod. SC 401, Km 05 – nº 4600, </w:t>
    </w:r>
    <w:proofErr w:type="spellStart"/>
    <w:r>
      <w:rPr>
        <w:sz w:val="18"/>
        <w:szCs w:val="18"/>
      </w:rPr>
      <w:t>Bl</w:t>
    </w:r>
    <w:proofErr w:type="spellEnd"/>
    <w:r>
      <w:rPr>
        <w:sz w:val="18"/>
        <w:szCs w:val="18"/>
      </w:rPr>
      <w:t>. 03 – CEP: 88.032-510 – Florianópolis - SC</w:t>
    </w:r>
  </w:p>
  <w:p w14:paraId="39CB8F81" w14:textId="77777777" w:rsidR="00D75B0B" w:rsidRDefault="00000000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>Secretaria de Estado da Administração - Fone: (48) 3665-1102</w:t>
    </w:r>
  </w:p>
  <w:p w14:paraId="514D1065" w14:textId="77777777" w:rsidR="00D75B0B" w:rsidRDefault="00D75B0B">
    <w:pPr>
      <w:pStyle w:val="Recuodecorpodetexto2"/>
      <w:tabs>
        <w:tab w:val="left" w:pos="0"/>
      </w:tabs>
      <w:ind w:left="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CFB5" w14:textId="77777777" w:rsidR="00B446AD" w:rsidRDefault="00B446AD">
      <w:r>
        <w:separator/>
      </w:r>
    </w:p>
  </w:footnote>
  <w:footnote w:type="continuationSeparator" w:id="0">
    <w:p w14:paraId="23E71DB0" w14:textId="77777777" w:rsidR="00B446AD" w:rsidRDefault="00B4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27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6"/>
      <w:gridCol w:w="8526"/>
    </w:tblGrid>
    <w:tr w:rsidR="00D75B0B" w14:paraId="54ED3F6E" w14:textId="77777777">
      <w:trPr>
        <w:cantSplit/>
      </w:trPr>
      <w:tc>
        <w:tcPr>
          <w:tcW w:w="1256" w:type="dxa"/>
        </w:tcPr>
        <w:p w14:paraId="6EEB38C9" w14:textId="77777777" w:rsidR="00D75B0B" w:rsidRDefault="00000000">
          <w:pPr>
            <w:pStyle w:val="Cabealho"/>
            <w:widowControl w:val="0"/>
            <w:tabs>
              <w:tab w:val="left" w:pos="1985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3" behindDoc="1" locked="0" layoutInCell="1" allowOverlap="1" wp14:anchorId="6C832546" wp14:editId="7E39E869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27940" cy="146050"/>
                    <wp:effectExtent l="0" t="0" r="0" b="0"/>
                    <wp:wrapSquare wrapText="bothSides"/>
                    <wp:docPr id="1" name="Quadro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360" cy="1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A882F38" w14:textId="77777777" w:rsidR="00D75B0B" w:rsidRDefault="00000000">
                                <w:pPr>
                                  <w:pStyle w:val="Cabealho"/>
                                  <w:widowControl w:val="0"/>
                                </w:pP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instrText>PAGE</w:instrText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C832546" id="Quadro1" o:spid="_x0000_s1026" style="position:absolute;margin-left:-49pt;margin-top:.05pt;width:2.2pt;height:11.5pt;z-index:-503316477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" filled="f" stroked="f">
                    <v:textbox style="mso-fit-shape-to-text:t" inset="0,0,0,0">
                      <w:txbxContent>
                        <w:p w14:paraId="2A882F38" w14:textId="77777777" w:rsidR="00D75B0B" w:rsidRDefault="00000000">
                          <w:pPr>
                            <w:pStyle w:val="Cabealho"/>
                            <w:widowControl w:val="0"/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  <w:r>
            <w:object w:dxaOrig="1125" w:dyaOrig="1185" w14:anchorId="0E95F943">
              <v:shape id="ole_rId1" o:spid="_x0000_i1025" style="width:56.25pt;height:59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Word.Picture.8" ShapeID="ole_rId1" DrawAspect="Content" ObjectID="_1831297497" r:id="rId2"/>
            </w:object>
          </w:r>
        </w:p>
      </w:tc>
      <w:tc>
        <w:tcPr>
          <w:tcW w:w="8525" w:type="dxa"/>
        </w:tcPr>
        <w:p w14:paraId="50EE5B33" w14:textId="77777777" w:rsidR="00D75B0B" w:rsidRDefault="00D75B0B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</w:p>
        <w:p w14:paraId="632D87D2" w14:textId="77777777" w:rsidR="00D75B0B" w:rsidRDefault="00000000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ESTADO DE SANTA CATARINA</w:t>
          </w:r>
        </w:p>
        <w:p w14:paraId="64C06A63" w14:textId="77777777" w:rsidR="00D75B0B" w:rsidRDefault="00000000">
          <w:pPr>
            <w:pStyle w:val="Ttulo2"/>
            <w:widowControl w:val="0"/>
            <w:ind w:right="-91"/>
            <w:rPr>
              <w:b/>
              <w:i w:val="0"/>
              <w:szCs w:val="24"/>
            </w:rPr>
          </w:pPr>
          <w:r>
            <w:rPr>
              <w:b/>
              <w:i w:val="0"/>
              <w:szCs w:val="24"/>
            </w:rPr>
            <w:t>SECRETARIA DE ESTADO DA ADMINISTRAÇÃO</w:t>
          </w:r>
        </w:p>
        <w:p w14:paraId="44BE55C5" w14:textId="77777777" w:rsidR="00D75B0B" w:rsidRDefault="00000000">
          <w:pPr>
            <w:pStyle w:val="Ttulo2"/>
            <w:widowControl w:val="0"/>
            <w:ind w:right="-91"/>
            <w:rPr>
              <w:b/>
              <w:i w:val="0"/>
            </w:rPr>
          </w:pPr>
          <w:r>
            <w:rPr>
              <w:b/>
              <w:i w:val="0"/>
            </w:rPr>
            <w:t>COORDENADORIA DE CONTROLE INTERNO E OUVIDORIA</w:t>
          </w:r>
        </w:p>
      </w:tc>
    </w:tr>
  </w:tbl>
  <w:p w14:paraId="2CA74923" w14:textId="77777777" w:rsidR="00D75B0B" w:rsidRDefault="00D75B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8332E"/>
    <w:multiLevelType w:val="multilevel"/>
    <w:tmpl w:val="61F22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123C96"/>
    <w:multiLevelType w:val="multilevel"/>
    <w:tmpl w:val="1AC67B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901135950">
    <w:abstractNumId w:val="1"/>
  </w:num>
  <w:num w:numId="2" w16cid:durableId="125817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0B"/>
    <w:rsid w:val="00227AA7"/>
    <w:rsid w:val="00245DD0"/>
    <w:rsid w:val="00356404"/>
    <w:rsid w:val="0036232B"/>
    <w:rsid w:val="004C3F40"/>
    <w:rsid w:val="00557FBD"/>
    <w:rsid w:val="00572BA4"/>
    <w:rsid w:val="005A6D7B"/>
    <w:rsid w:val="005C78A1"/>
    <w:rsid w:val="00654DD8"/>
    <w:rsid w:val="006B2685"/>
    <w:rsid w:val="007B498C"/>
    <w:rsid w:val="008530E6"/>
    <w:rsid w:val="00984EF6"/>
    <w:rsid w:val="00A25FF2"/>
    <w:rsid w:val="00AD3038"/>
    <w:rsid w:val="00B446AD"/>
    <w:rsid w:val="00B551CC"/>
    <w:rsid w:val="00BA3FCF"/>
    <w:rsid w:val="00BF1016"/>
    <w:rsid w:val="00C1071A"/>
    <w:rsid w:val="00C94D01"/>
    <w:rsid w:val="00D43AB2"/>
    <w:rsid w:val="00D75B0B"/>
    <w:rsid w:val="00E065A0"/>
    <w:rsid w:val="00E762B5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F809D"/>
  <w15:docId w15:val="{736FAED1-712D-48D4-9887-C37E5E35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qFormat/>
    <w:rPr>
      <w:rFonts w:ascii="Arial" w:eastAsia="Times New Roman" w:hAnsi="Arial" w:cs="Times New Roman"/>
      <w:b/>
      <w:i/>
      <w:sz w:val="26"/>
      <w:szCs w:val="20"/>
      <w:lang w:eastAsia="pt-BR"/>
    </w:rPr>
  </w:style>
  <w:style w:type="character" w:styleId="Nmerodepgina">
    <w:name w:val="page number"/>
    <w:qFormat/>
  </w:style>
  <w:style w:type="character" w:customStyle="1" w:styleId="i-nm">
    <w:name w:val="i-nm"/>
    <w:basedOn w:val="Fontepargpadr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next w:val="Standard"/>
    <w:qFormat/>
    <w:pPr>
      <w:ind w:firstLine="720"/>
    </w:pPr>
    <w:rPr>
      <w:rFonts w:ascii="Arial" w:eastAsia="Arial" w:hAnsi="Arial" w:cs="Arial"/>
      <w:b/>
    </w:rPr>
  </w:style>
  <w:style w:type="paragraph" w:customStyle="1" w:styleId="ndice">
    <w:name w:val="Índice"/>
    <w:basedOn w:val="Standard"/>
    <w:qFormat/>
    <w:pPr>
      <w:suppressLineNumbers/>
    </w:pPr>
    <w:rPr>
      <w:rFonts w:cs="Lucida Sans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CabealhoeRodap">
    <w:name w:val="Cabeçalho e Rodapé"/>
    <w:basedOn w:val="Standard"/>
    <w:qFormat/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sz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 w:val="28"/>
    </w:rPr>
  </w:style>
  <w:style w:type="paragraph" w:styleId="Recuodecorpodetexto2">
    <w:name w:val="Body Text Indent 2"/>
    <w:basedOn w:val="Standard"/>
    <w:qFormat/>
    <w:pPr>
      <w:ind w:left="1701"/>
      <w:jc w:val="both"/>
    </w:pPr>
    <w:rPr>
      <w:rFonts w:ascii="Arial" w:eastAsia="Arial" w:hAnsi="Arial" w:cs="Arial"/>
      <w:b/>
      <w:i/>
      <w:sz w:val="26"/>
    </w:rPr>
  </w:style>
  <w:style w:type="paragraph" w:styleId="PargrafodaLista">
    <w:name w:val="List Paragraph"/>
    <w:basedOn w:val="Standard"/>
    <w:qFormat/>
    <w:pPr>
      <w:ind w:left="720"/>
    </w:pPr>
  </w:style>
  <w:style w:type="paragraph" w:customStyle="1" w:styleId="Contedodoquadro">
    <w:name w:val="Conteúdo do quadro"/>
    <w:basedOn w:val="Standard"/>
    <w:qFormat/>
  </w:style>
  <w:style w:type="paragraph" w:customStyle="1" w:styleId="Contedodatabela">
    <w:name w:val="Conteúdo da tabela"/>
    <w:basedOn w:val="Standard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Semlista1">
    <w:name w:val="Sem lista1"/>
    <w:qFormat/>
  </w:style>
  <w:style w:type="table" w:styleId="Tabelacomgrade">
    <w:name w:val="Table Grid"/>
    <w:basedOn w:val="Tabelanormal"/>
    <w:uiPriority w:val="39"/>
    <w:rsid w:val="0024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Bayestorff</dc:creator>
  <dc:description/>
  <cp:lastModifiedBy>Elizabeth Jacques Gomes</cp:lastModifiedBy>
  <cp:revision>5</cp:revision>
  <cp:lastPrinted>2018-04-13T16:58:00Z</cp:lastPrinted>
  <dcterms:created xsi:type="dcterms:W3CDTF">2026-01-30T19:37:00Z</dcterms:created>
  <dcterms:modified xsi:type="dcterms:W3CDTF">2026-01-30T19:58:00Z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