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BEAD" w14:textId="2D4FAAC6" w:rsidR="00D75B0B" w:rsidRDefault="00000000" w:rsidP="00B551CC">
      <w:pPr>
        <w:pStyle w:val="Textbody"/>
        <w:tabs>
          <w:tab w:val="left" w:pos="2081"/>
        </w:tabs>
        <w:ind w:left="-142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Cs w:val="24"/>
        </w:rPr>
        <w:t xml:space="preserve">CHECKLIST </w:t>
      </w:r>
      <w:r w:rsidR="00557FBD">
        <w:rPr>
          <w:rFonts w:ascii="Arial" w:hAnsi="Arial" w:cs="Arial"/>
          <w:b/>
          <w:szCs w:val="24"/>
        </w:rPr>
        <w:t>DE CONFERÊNCIA DA FOLHA DE PAGAMENTO</w:t>
      </w:r>
    </w:p>
    <w:p w14:paraId="7028D560" w14:textId="1E40C5BC" w:rsidR="00D75B0B" w:rsidRDefault="00557FBD">
      <w:pPr>
        <w:pStyle w:val="Textbody"/>
        <w:ind w:left="-142"/>
        <w:jc w:val="center"/>
        <w:rPr>
          <w:rFonts w:ascii="Arial" w:hAnsi="Arial" w:cs="Arial"/>
          <w:b/>
          <w:sz w:val="18"/>
          <w:szCs w:val="18"/>
        </w:rPr>
      </w:pPr>
      <w:r w:rsidRPr="00BA3FCF">
        <w:rPr>
          <w:rFonts w:ascii="Arial" w:hAnsi="Arial" w:cs="Arial"/>
          <w:bCs/>
          <w:szCs w:val="24"/>
        </w:rPr>
        <w:t>(Modelo ANEXO III</w:t>
      </w:r>
      <w:r w:rsidR="00984EF6">
        <w:rPr>
          <w:rFonts w:ascii="Arial" w:hAnsi="Arial" w:cs="Arial"/>
          <w:bCs/>
          <w:szCs w:val="24"/>
        </w:rPr>
        <w:t xml:space="preserve"> -</w:t>
      </w:r>
      <w:r w:rsidRPr="00BA3FCF">
        <w:rPr>
          <w:rFonts w:ascii="Arial" w:hAnsi="Arial" w:cs="Arial"/>
          <w:bCs/>
          <w:szCs w:val="24"/>
        </w:rPr>
        <w:t xml:space="preserve"> Manual CGE)</w:t>
      </w:r>
    </w:p>
    <w:p w14:paraId="15343243" w14:textId="77777777" w:rsidR="00D75B0B" w:rsidRDefault="00D75B0B">
      <w:pPr>
        <w:pStyle w:val="Textbody"/>
        <w:ind w:left="-142"/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0" w:type="auto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  <w:gridCol w:w="1134"/>
        <w:gridCol w:w="1130"/>
        <w:gridCol w:w="1608"/>
      </w:tblGrid>
      <w:tr w:rsidR="00B551CC" w:rsidRPr="00B551CC" w14:paraId="6A70D68E" w14:textId="77777777" w:rsidTr="00AD15C8">
        <w:tc>
          <w:tcPr>
            <w:tcW w:w="4253" w:type="dxa"/>
            <w:vMerge w:val="restart"/>
            <w:shd w:val="clear" w:color="auto" w:fill="A8D08D" w:themeFill="accent6" w:themeFillTint="99"/>
            <w:vAlign w:val="center"/>
          </w:tcPr>
          <w:p w14:paraId="2519B7B1" w14:textId="4F1D2F11" w:rsidR="00245DD0" w:rsidRPr="00B551CC" w:rsidRDefault="00245DD0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51CC">
              <w:rPr>
                <w:rFonts w:ascii="Arial" w:hAnsi="Arial" w:cs="Arial"/>
                <w:b/>
                <w:bCs/>
                <w:sz w:val="18"/>
                <w:szCs w:val="18"/>
              </w:rPr>
              <w:t>Checklist - Conferência da folha de pagamento</w:t>
            </w:r>
          </w:p>
        </w:tc>
        <w:tc>
          <w:tcPr>
            <w:tcW w:w="2410" w:type="dxa"/>
            <w:vMerge w:val="restart"/>
            <w:shd w:val="clear" w:color="auto" w:fill="A8D08D" w:themeFill="accent6" w:themeFillTint="99"/>
            <w:vAlign w:val="center"/>
          </w:tcPr>
          <w:p w14:paraId="66A8B78C" w14:textId="69AD1363" w:rsidR="00245DD0" w:rsidRPr="00B551CC" w:rsidRDefault="00245DD0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51CC">
              <w:rPr>
                <w:rFonts w:ascii="Arial" w:hAnsi="Arial" w:cs="Arial"/>
                <w:b/>
                <w:bCs/>
                <w:sz w:val="18"/>
                <w:szCs w:val="18"/>
              </w:rPr>
              <w:t>Base Legal</w:t>
            </w:r>
          </w:p>
        </w:tc>
        <w:tc>
          <w:tcPr>
            <w:tcW w:w="2264" w:type="dxa"/>
            <w:gridSpan w:val="2"/>
            <w:shd w:val="clear" w:color="auto" w:fill="A8D08D" w:themeFill="accent6" w:themeFillTint="99"/>
            <w:vAlign w:val="center"/>
          </w:tcPr>
          <w:p w14:paraId="3167B613" w14:textId="02944C7F" w:rsidR="00245DD0" w:rsidRPr="00B551CC" w:rsidRDefault="00245DD0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51CC">
              <w:rPr>
                <w:rFonts w:ascii="Arial" w:hAnsi="Arial" w:cs="Arial"/>
                <w:b/>
                <w:bCs/>
                <w:sz w:val="18"/>
                <w:szCs w:val="18"/>
              </w:rPr>
              <w:t>O setorial de gestão de pessoas efetuou o procedimento?</w:t>
            </w:r>
          </w:p>
        </w:tc>
        <w:tc>
          <w:tcPr>
            <w:tcW w:w="1608" w:type="dxa"/>
            <w:vMerge w:val="restart"/>
            <w:shd w:val="clear" w:color="auto" w:fill="A8D08D" w:themeFill="accent6" w:themeFillTint="99"/>
            <w:vAlign w:val="center"/>
          </w:tcPr>
          <w:p w14:paraId="72C0D323" w14:textId="18C25C4F" w:rsidR="00245DD0" w:rsidRPr="00B551CC" w:rsidRDefault="00245DD0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51CC">
              <w:rPr>
                <w:rFonts w:ascii="Arial" w:hAnsi="Arial" w:cs="Arial"/>
                <w:b/>
                <w:bCs/>
                <w:sz w:val="18"/>
                <w:szCs w:val="18"/>
              </w:rPr>
              <w:t>Comentários</w:t>
            </w:r>
          </w:p>
        </w:tc>
      </w:tr>
      <w:tr w:rsidR="00B551CC" w:rsidRPr="00B551CC" w14:paraId="03EE1259" w14:textId="77777777" w:rsidTr="00AD15C8">
        <w:tc>
          <w:tcPr>
            <w:tcW w:w="4253" w:type="dxa"/>
            <w:vMerge/>
          </w:tcPr>
          <w:p w14:paraId="05E3F4B5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52F858B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B22EB67" w14:textId="6736B597" w:rsidR="00245DD0" w:rsidRPr="00B551CC" w:rsidRDefault="00245DD0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51CC">
              <w:rPr>
                <w:rFonts w:ascii="Arial" w:hAnsi="Arial" w:cs="Arial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1130" w:type="dxa"/>
            <w:shd w:val="clear" w:color="auto" w:fill="A8D08D" w:themeFill="accent6" w:themeFillTint="99"/>
            <w:vAlign w:val="center"/>
          </w:tcPr>
          <w:p w14:paraId="65ADBA50" w14:textId="12EBD633" w:rsidR="00245DD0" w:rsidRPr="00B551CC" w:rsidRDefault="00245DD0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51CC">
              <w:rPr>
                <w:rFonts w:ascii="Arial" w:hAnsi="Arial" w:cs="Arial"/>
                <w:b/>
                <w:bCs/>
                <w:sz w:val="18"/>
                <w:szCs w:val="18"/>
              </w:rPr>
              <w:t>NÃO</w:t>
            </w:r>
          </w:p>
        </w:tc>
        <w:tc>
          <w:tcPr>
            <w:tcW w:w="1608" w:type="dxa"/>
            <w:vMerge/>
          </w:tcPr>
          <w:p w14:paraId="54D17E7B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529F9B35" w14:textId="77777777" w:rsidTr="00AD15C8">
        <w:tc>
          <w:tcPr>
            <w:tcW w:w="4253" w:type="dxa"/>
          </w:tcPr>
          <w:p w14:paraId="5F4295C1" w14:textId="6B7D4725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551CC">
              <w:rPr>
                <w:rFonts w:ascii="Arial" w:hAnsi="Arial" w:cs="Arial"/>
                <w:sz w:val="18"/>
                <w:szCs w:val="18"/>
              </w:rPr>
              <w:t>Conferir se as datas de processamento do teste, da prévia e da definitiva foram cumpridas.</w:t>
            </w:r>
          </w:p>
        </w:tc>
        <w:tc>
          <w:tcPr>
            <w:tcW w:w="2410" w:type="dxa"/>
          </w:tcPr>
          <w:p w14:paraId="1877FA83" w14:textId="1C6F39BB" w:rsidR="00245DD0" w:rsidRPr="00AD15C8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15C8">
              <w:rPr>
                <w:rFonts w:ascii="Arial" w:hAnsi="Arial" w:cs="Arial"/>
                <w:sz w:val="18"/>
                <w:szCs w:val="18"/>
              </w:rPr>
              <w:t>INSTRUÇÃO NORMATIVA Nº 0001/2020/GGG</w:t>
            </w:r>
          </w:p>
        </w:tc>
        <w:tc>
          <w:tcPr>
            <w:tcW w:w="1134" w:type="dxa"/>
          </w:tcPr>
          <w:p w14:paraId="4DD22E8F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14:paraId="1350FBEB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8" w:type="dxa"/>
          </w:tcPr>
          <w:p w14:paraId="24DD234A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3A445F85" w14:textId="77777777" w:rsidTr="00AD15C8">
        <w:tc>
          <w:tcPr>
            <w:tcW w:w="4253" w:type="dxa"/>
          </w:tcPr>
          <w:p w14:paraId="50122B7A" w14:textId="2C730876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551CC">
              <w:rPr>
                <w:rFonts w:ascii="Arial" w:hAnsi="Arial" w:cs="Arial"/>
                <w:sz w:val="18"/>
                <w:szCs w:val="18"/>
              </w:rPr>
              <w:t>Verificar, quando houver implantação de pagamento que implique aumento no valor da folha de pagamento, se foi encaminhado em até dois dias úteis antes do processamento do fechamento parcial o relatório de justificativas- inclusões/alterações na folha de pagamento para a Gerência de Remuneração Funcional da SEA (geref@sea.sc.gov.br), com cópia para a Gerência de Auditoria de Pessoal/AGE/CGE (gapes@cge.sc.gov.br)</w:t>
            </w:r>
          </w:p>
        </w:tc>
        <w:tc>
          <w:tcPr>
            <w:tcW w:w="2410" w:type="dxa"/>
          </w:tcPr>
          <w:p w14:paraId="641ABE63" w14:textId="33727C86" w:rsidR="00245DD0" w:rsidRPr="00AD15C8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15C8">
              <w:rPr>
                <w:rFonts w:ascii="Arial" w:hAnsi="Arial" w:cs="Arial"/>
                <w:sz w:val="18"/>
                <w:szCs w:val="18"/>
              </w:rPr>
              <w:t>INSTRUÇÃO NORMATIVA Nº 0001/2020/GGG c/c IN nº 001/2017/GGG Art. 5º</w:t>
            </w:r>
            <w:r w:rsidR="00264854" w:rsidRPr="00264854">
              <w:rPr>
                <w:rFonts w:ascii="Arial" w:hAnsi="Arial" w:cs="Arial"/>
                <w:color w:val="FF0000"/>
                <w:sz w:val="18"/>
                <w:szCs w:val="18"/>
              </w:rPr>
              <w:t>¹</w:t>
            </w:r>
          </w:p>
        </w:tc>
        <w:tc>
          <w:tcPr>
            <w:tcW w:w="1134" w:type="dxa"/>
          </w:tcPr>
          <w:p w14:paraId="7106B859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14:paraId="29DB2D1D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8" w:type="dxa"/>
          </w:tcPr>
          <w:p w14:paraId="585E71E6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1428FC52" w14:textId="77777777" w:rsidTr="00AD15C8">
        <w:tc>
          <w:tcPr>
            <w:tcW w:w="4253" w:type="dxa"/>
          </w:tcPr>
          <w:p w14:paraId="6C11386C" w14:textId="2E85E15C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551CC">
              <w:rPr>
                <w:rFonts w:ascii="Arial" w:hAnsi="Arial" w:cs="Arial"/>
                <w:sz w:val="18"/>
                <w:szCs w:val="18"/>
              </w:rPr>
              <w:t>Verificar se os relatórios de folha gerados nos processamentos de abertura, prévia, fechamento parcial e definitivo foram homologados pelo respectivo gerente.</w:t>
            </w:r>
          </w:p>
        </w:tc>
        <w:tc>
          <w:tcPr>
            <w:tcW w:w="2410" w:type="dxa"/>
          </w:tcPr>
          <w:p w14:paraId="6BAE6F88" w14:textId="059170EC" w:rsidR="00245DD0" w:rsidRPr="00AD15C8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15C8">
              <w:rPr>
                <w:rFonts w:ascii="Arial" w:hAnsi="Arial" w:cs="Arial"/>
                <w:sz w:val="18"/>
                <w:szCs w:val="18"/>
              </w:rPr>
              <w:t>INSTRUÇÃO NORMATIVA Nº 0001/2020/GGG c/c IN nº 001/2017/GGG Art. 7º</w:t>
            </w:r>
          </w:p>
        </w:tc>
        <w:tc>
          <w:tcPr>
            <w:tcW w:w="1134" w:type="dxa"/>
          </w:tcPr>
          <w:p w14:paraId="1DF9AE9E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14:paraId="0EACA0C5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8" w:type="dxa"/>
          </w:tcPr>
          <w:p w14:paraId="0FA04FFB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6BAC047B" w14:textId="77777777" w:rsidTr="00AD15C8">
        <w:tc>
          <w:tcPr>
            <w:tcW w:w="4253" w:type="dxa"/>
          </w:tcPr>
          <w:p w14:paraId="036488BF" w14:textId="624A01A8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551CC">
              <w:rPr>
                <w:rFonts w:ascii="Arial" w:hAnsi="Arial" w:cs="Arial"/>
                <w:sz w:val="18"/>
                <w:szCs w:val="18"/>
              </w:rPr>
              <w:t>Verificar se as inclusões de horas extras sem a prévia autorização do Grupo Gestor de Governo foram excluídas da folha de pagamento.</w:t>
            </w:r>
          </w:p>
        </w:tc>
        <w:tc>
          <w:tcPr>
            <w:tcW w:w="2410" w:type="dxa"/>
          </w:tcPr>
          <w:p w14:paraId="42DEA848" w14:textId="6BBA4499" w:rsidR="00245DD0" w:rsidRPr="00AD15C8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15C8">
              <w:rPr>
                <w:rFonts w:ascii="Arial" w:hAnsi="Arial" w:cs="Arial"/>
                <w:sz w:val="18"/>
                <w:szCs w:val="18"/>
              </w:rPr>
              <w:t>INSTRUÇÃO NORMATIVA Nº 0001/2020/GGG c/c IN nº 001/2017/GGG Art. 8º</w:t>
            </w:r>
          </w:p>
        </w:tc>
        <w:tc>
          <w:tcPr>
            <w:tcW w:w="1134" w:type="dxa"/>
          </w:tcPr>
          <w:p w14:paraId="72EAA207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14:paraId="2E56D883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8" w:type="dxa"/>
          </w:tcPr>
          <w:p w14:paraId="54BCD7B4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7B88013F" w14:textId="77777777" w:rsidTr="00AD15C8">
        <w:tc>
          <w:tcPr>
            <w:tcW w:w="4253" w:type="dxa"/>
          </w:tcPr>
          <w:p w14:paraId="4134D8B2" w14:textId="23523DB4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551CC">
              <w:rPr>
                <w:rFonts w:ascii="Arial" w:hAnsi="Arial" w:cs="Arial"/>
                <w:sz w:val="18"/>
                <w:szCs w:val="18"/>
              </w:rPr>
              <w:t xml:space="preserve">Verificar se houve algum pagamento após o processamento da folha prévia, e se houver atentar para o seguinte: I - Havendo impacto financeiro, observado o disposto nos </w:t>
            </w:r>
            <w:proofErr w:type="spellStart"/>
            <w:r w:rsidRPr="00B551CC">
              <w:rPr>
                <w:rFonts w:ascii="Arial" w:hAnsi="Arial" w:cs="Arial"/>
                <w:sz w:val="18"/>
                <w:szCs w:val="18"/>
              </w:rPr>
              <w:t>arts</w:t>
            </w:r>
            <w:proofErr w:type="spellEnd"/>
            <w:r w:rsidRPr="00B551CC">
              <w:rPr>
                <w:rFonts w:ascii="Arial" w:hAnsi="Arial" w:cs="Arial"/>
                <w:sz w:val="18"/>
                <w:szCs w:val="18"/>
              </w:rPr>
              <w:t xml:space="preserve">. 4º e 5º desta Instrução Normativa, as informações deverão ser encaminhadas à DGDP/SEA que se manifestará após a análise da </w:t>
            </w:r>
            <w:proofErr w:type="spellStart"/>
            <w:r w:rsidRPr="00B551CC">
              <w:rPr>
                <w:rFonts w:ascii="Arial" w:hAnsi="Arial" w:cs="Arial"/>
                <w:sz w:val="18"/>
                <w:szCs w:val="18"/>
              </w:rPr>
              <w:t>Gerênciacompetente</w:t>
            </w:r>
            <w:proofErr w:type="spellEnd"/>
            <w:r w:rsidRPr="00B551CC">
              <w:rPr>
                <w:rFonts w:ascii="Arial" w:hAnsi="Arial" w:cs="Arial"/>
                <w:sz w:val="18"/>
                <w:szCs w:val="18"/>
              </w:rPr>
              <w:t>; II – No caso de dúvidas quanto à legalidade da concessão de vantagem ao servidor, a matéria deverá obrigatoriamente ser dirimida de forma expressa, previamente à inclusão na folha de pagamento pela DGDP/SEA.</w:t>
            </w:r>
          </w:p>
        </w:tc>
        <w:tc>
          <w:tcPr>
            <w:tcW w:w="2410" w:type="dxa"/>
          </w:tcPr>
          <w:p w14:paraId="236A01CD" w14:textId="1D7319D6" w:rsidR="00245DD0" w:rsidRPr="00AD15C8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15C8">
              <w:rPr>
                <w:rFonts w:ascii="Arial" w:hAnsi="Arial" w:cs="Arial"/>
                <w:sz w:val="18"/>
                <w:szCs w:val="18"/>
              </w:rPr>
              <w:t>INSTRUÇÃO NORMATIVA Nº 0001/2020/GGG c/c IN nº 001/2017/GGG Art. 9º</w:t>
            </w:r>
          </w:p>
        </w:tc>
        <w:tc>
          <w:tcPr>
            <w:tcW w:w="1134" w:type="dxa"/>
          </w:tcPr>
          <w:p w14:paraId="34D3E6D9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14:paraId="404BD059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8" w:type="dxa"/>
          </w:tcPr>
          <w:p w14:paraId="3784C50B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79EAEF88" w14:textId="77777777" w:rsidTr="00AD15C8">
        <w:tc>
          <w:tcPr>
            <w:tcW w:w="4253" w:type="dxa"/>
          </w:tcPr>
          <w:p w14:paraId="2BA4CE51" w14:textId="61AD6151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551CC">
              <w:rPr>
                <w:rFonts w:ascii="Arial" w:hAnsi="Arial" w:cs="Arial"/>
                <w:sz w:val="18"/>
                <w:szCs w:val="18"/>
              </w:rPr>
              <w:t>Verificar se foi encaminhado o formulário “Conferência da Prévia MCP-031”, até o dia do fechamento definitivo da folha, à Gerência de Remuneração Funcional da DGDP/SEA, via e- mail geref@sea.sc.gov.br.</w:t>
            </w:r>
          </w:p>
        </w:tc>
        <w:tc>
          <w:tcPr>
            <w:tcW w:w="2410" w:type="dxa"/>
          </w:tcPr>
          <w:p w14:paraId="6C8BB9C9" w14:textId="556B02FE" w:rsidR="00245DD0" w:rsidRPr="00AD15C8" w:rsidRDefault="00BA3FCF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15C8">
              <w:rPr>
                <w:rFonts w:ascii="Arial" w:hAnsi="Arial" w:cs="Arial"/>
                <w:sz w:val="18"/>
                <w:szCs w:val="18"/>
              </w:rPr>
              <w:t>INSTRUÇÃO NORMATIVA Nº 0001/2020/GGG c/c IN nº 001/2017/GGG Art. 10</w:t>
            </w:r>
          </w:p>
        </w:tc>
        <w:tc>
          <w:tcPr>
            <w:tcW w:w="1134" w:type="dxa"/>
          </w:tcPr>
          <w:p w14:paraId="47635558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14:paraId="48CDFE97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8" w:type="dxa"/>
          </w:tcPr>
          <w:p w14:paraId="21ACB6BB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F93F2F6" w14:textId="77777777" w:rsidR="00AD15C8" w:rsidRDefault="00AD15C8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0CD736CA" w14:textId="111848D3" w:rsidR="00D75B0B" w:rsidRDefault="00264854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8533E">
        <w:rPr>
          <w:rFonts w:ascii="Arial" w:hAnsi="Arial" w:cs="Arial"/>
          <w:color w:val="FF0000"/>
          <w:sz w:val="18"/>
          <w:szCs w:val="18"/>
        </w:rPr>
        <w:t>¹</w:t>
      </w:r>
      <w:r w:rsidR="00AD15C8" w:rsidRPr="00AD15C8">
        <w:rPr>
          <w:rFonts w:ascii="Arial" w:hAnsi="Arial" w:cs="Arial"/>
          <w:sz w:val="18"/>
          <w:szCs w:val="18"/>
        </w:rPr>
        <w:t>O artigo 4º da IN 001/2020/GGG manteve as disposições da IN nº 001/2017/GGG acerca das rotinas de processamento da folha de pagamento.</w:t>
      </w:r>
    </w:p>
    <w:p w14:paraId="375DA64B" w14:textId="77777777" w:rsidR="00D75B0B" w:rsidRDefault="00D75B0B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1EC16CF4" w14:textId="77777777" w:rsidR="00D75B0B" w:rsidRDefault="00000000">
      <w:pPr>
        <w:pStyle w:val="Standard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</w:t>
      </w:r>
    </w:p>
    <w:p w14:paraId="7D7DA115" w14:textId="77777777" w:rsidR="00D75B0B" w:rsidRDefault="00000000">
      <w:pPr>
        <w:pStyle w:val="Standard"/>
        <w:jc w:val="center"/>
      </w:pPr>
      <w:r>
        <w:rPr>
          <w:rFonts w:ascii="Arial" w:hAnsi="Arial" w:cs="Arial"/>
          <w:sz w:val="18"/>
          <w:szCs w:val="18"/>
        </w:rPr>
        <w:t>Coordenadoria Controle Interno e Ouvidoria SEA</w:t>
      </w:r>
    </w:p>
    <w:sectPr w:rsidR="00D75B0B">
      <w:headerReference w:type="default" r:id="rId7"/>
      <w:footerReference w:type="default" r:id="rId8"/>
      <w:pgSz w:w="11906" w:h="16838"/>
      <w:pgMar w:top="964" w:right="510" w:bottom="964" w:left="993" w:header="907" w:footer="907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D3ED" w14:textId="77777777" w:rsidR="000A503A" w:rsidRDefault="000A503A">
      <w:r>
        <w:separator/>
      </w:r>
    </w:p>
  </w:endnote>
  <w:endnote w:type="continuationSeparator" w:id="0">
    <w:p w14:paraId="61AA9856" w14:textId="77777777" w:rsidR="000A503A" w:rsidRDefault="000A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AAFF" w14:textId="77777777" w:rsidR="00D75B0B" w:rsidRDefault="00000000">
    <w:pPr>
      <w:pStyle w:val="Recuodecorpodetexto2"/>
      <w:tabs>
        <w:tab w:val="left" w:pos="0"/>
      </w:tabs>
      <w:ind w:left="0"/>
      <w:jc w:val="center"/>
      <w:rPr>
        <w:b w:val="0"/>
        <w:sz w:val="14"/>
      </w:rPr>
    </w:pPr>
    <w:r>
      <w:rPr>
        <w:b w:val="0"/>
        <w:sz w:val="14"/>
      </w:rPr>
      <w:t>_____________________________________________________________________________________________________________________</w:t>
    </w:r>
  </w:p>
  <w:p w14:paraId="15C4CBCF" w14:textId="77777777" w:rsidR="00D75B0B" w:rsidRDefault="00000000">
    <w:pPr>
      <w:pStyle w:val="Rodap"/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Rod. SC 401, Km 05 – nº 4600, </w:t>
    </w:r>
    <w:proofErr w:type="spellStart"/>
    <w:r>
      <w:rPr>
        <w:sz w:val="18"/>
        <w:szCs w:val="18"/>
      </w:rPr>
      <w:t>Bl</w:t>
    </w:r>
    <w:proofErr w:type="spellEnd"/>
    <w:r>
      <w:rPr>
        <w:sz w:val="18"/>
        <w:szCs w:val="18"/>
      </w:rPr>
      <w:t>. 03 – CEP: 88.032-510 – Florianópolis - SC</w:t>
    </w:r>
  </w:p>
  <w:p w14:paraId="39CB8F81" w14:textId="77777777" w:rsidR="00D75B0B" w:rsidRDefault="00000000">
    <w:pPr>
      <w:pStyle w:val="Rodap"/>
      <w:ind w:right="360"/>
      <w:jc w:val="center"/>
      <w:rPr>
        <w:sz w:val="18"/>
        <w:szCs w:val="18"/>
      </w:rPr>
    </w:pPr>
    <w:r>
      <w:rPr>
        <w:sz w:val="18"/>
        <w:szCs w:val="18"/>
      </w:rPr>
      <w:t>Secretaria de Estado da Administração - Fone: (48) 3665-1102</w:t>
    </w:r>
  </w:p>
  <w:p w14:paraId="514D1065" w14:textId="77777777" w:rsidR="00D75B0B" w:rsidRDefault="00D75B0B">
    <w:pPr>
      <w:pStyle w:val="Recuodecorpodetexto2"/>
      <w:tabs>
        <w:tab w:val="left" w:pos="0"/>
      </w:tabs>
      <w:ind w:left="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B7F8" w14:textId="77777777" w:rsidR="000A503A" w:rsidRDefault="000A503A">
      <w:r>
        <w:separator/>
      </w:r>
    </w:p>
  </w:footnote>
  <w:footnote w:type="continuationSeparator" w:id="0">
    <w:p w14:paraId="7C61B30B" w14:textId="77777777" w:rsidR="000A503A" w:rsidRDefault="000A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276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56"/>
      <w:gridCol w:w="8526"/>
    </w:tblGrid>
    <w:tr w:rsidR="00D75B0B" w14:paraId="54ED3F6E" w14:textId="77777777">
      <w:trPr>
        <w:cantSplit/>
      </w:trPr>
      <w:tc>
        <w:tcPr>
          <w:tcW w:w="1256" w:type="dxa"/>
        </w:tcPr>
        <w:p w14:paraId="6EEB38C9" w14:textId="77777777" w:rsidR="00D75B0B" w:rsidRDefault="00000000">
          <w:pPr>
            <w:pStyle w:val="Cabealho"/>
            <w:widowControl w:val="0"/>
            <w:tabs>
              <w:tab w:val="left" w:pos="1985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3" behindDoc="1" locked="0" layoutInCell="1" allowOverlap="1" wp14:anchorId="6C832546" wp14:editId="7E39E869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635</wp:posOffset>
                    </wp:positionV>
                    <wp:extent cx="27940" cy="146050"/>
                    <wp:effectExtent l="0" t="0" r="0" b="0"/>
                    <wp:wrapSquare wrapText="bothSides"/>
                    <wp:docPr id="1" name="Quadro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360" cy="1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A882F38" w14:textId="77777777" w:rsidR="00D75B0B" w:rsidRDefault="00000000">
                                <w:pPr>
                                  <w:pStyle w:val="Cabealho"/>
                                  <w:widowControl w:val="0"/>
                                </w:pP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instrText>PAGE</w:instrText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C832546" id="Quadro1" o:spid="_x0000_s1026" style="position:absolute;margin-left:-49pt;margin-top:.05pt;width:2.2pt;height:11.5pt;z-index:-503316477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" filled="f" stroked="f">
                    <v:textbox style="mso-fit-shape-to-text:t" inset="0,0,0,0">
                      <w:txbxContent>
                        <w:p w14:paraId="2A882F38" w14:textId="77777777" w:rsidR="00D75B0B" w:rsidRDefault="00000000">
                          <w:pPr>
                            <w:pStyle w:val="Cabealho"/>
                            <w:widowControl w:val="0"/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v:textbox>
                    <w10:wrap type="square" anchorx="margin"/>
                  </v:rect>
                </w:pict>
              </mc:Fallback>
            </mc:AlternateContent>
          </w:r>
          <w:r>
            <w:object w:dxaOrig="1125" w:dyaOrig="1185" w14:anchorId="0E95F943">
              <v:shape id="ole_rId1" o:spid="_x0000_i1025" style="width:56.25pt;height:59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Word.Picture.8" ShapeID="ole_rId1" DrawAspect="Content" ObjectID="_1831297537" r:id="rId2"/>
            </w:object>
          </w:r>
        </w:p>
      </w:tc>
      <w:tc>
        <w:tcPr>
          <w:tcW w:w="8525" w:type="dxa"/>
        </w:tcPr>
        <w:p w14:paraId="50EE5B33" w14:textId="77777777" w:rsidR="00D75B0B" w:rsidRDefault="00D75B0B">
          <w:pPr>
            <w:pStyle w:val="Legenda"/>
            <w:widowControl w:val="0"/>
            <w:ind w:firstLine="0"/>
            <w:rPr>
              <w:rFonts w:ascii="Times New Roman" w:hAnsi="Times New Roman"/>
            </w:rPr>
          </w:pPr>
        </w:p>
        <w:p w14:paraId="632D87D2" w14:textId="77777777" w:rsidR="00D75B0B" w:rsidRDefault="00000000">
          <w:pPr>
            <w:pStyle w:val="Legenda"/>
            <w:widowControl w:val="0"/>
            <w:ind w:firstLin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ESTADO DE SANTA CATARINA</w:t>
          </w:r>
        </w:p>
        <w:p w14:paraId="64C06A63" w14:textId="77777777" w:rsidR="00D75B0B" w:rsidRDefault="00000000">
          <w:pPr>
            <w:pStyle w:val="Ttulo2"/>
            <w:widowControl w:val="0"/>
            <w:ind w:right="-91"/>
            <w:rPr>
              <w:b/>
              <w:i w:val="0"/>
              <w:szCs w:val="24"/>
            </w:rPr>
          </w:pPr>
          <w:r>
            <w:rPr>
              <w:b/>
              <w:i w:val="0"/>
              <w:szCs w:val="24"/>
            </w:rPr>
            <w:t>SECRETARIA DE ESTADO DA ADMINISTRAÇÃO</w:t>
          </w:r>
        </w:p>
        <w:p w14:paraId="44BE55C5" w14:textId="77777777" w:rsidR="00D75B0B" w:rsidRDefault="00000000">
          <w:pPr>
            <w:pStyle w:val="Ttulo2"/>
            <w:widowControl w:val="0"/>
            <w:ind w:right="-91"/>
            <w:rPr>
              <w:b/>
              <w:i w:val="0"/>
            </w:rPr>
          </w:pPr>
          <w:r>
            <w:rPr>
              <w:b/>
              <w:i w:val="0"/>
            </w:rPr>
            <w:t>COORDENADORIA DE CONTROLE INTERNO E OUVIDORIA</w:t>
          </w:r>
        </w:p>
      </w:tc>
    </w:tr>
  </w:tbl>
  <w:p w14:paraId="2CA74923" w14:textId="77777777" w:rsidR="00D75B0B" w:rsidRDefault="00D75B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8332E"/>
    <w:multiLevelType w:val="multilevel"/>
    <w:tmpl w:val="61F22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123C96"/>
    <w:multiLevelType w:val="multilevel"/>
    <w:tmpl w:val="1AC67B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901135950">
    <w:abstractNumId w:val="1"/>
  </w:num>
  <w:num w:numId="2" w16cid:durableId="125817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0B"/>
    <w:rsid w:val="000014D9"/>
    <w:rsid w:val="00082D73"/>
    <w:rsid w:val="000A503A"/>
    <w:rsid w:val="00245DD0"/>
    <w:rsid w:val="00264854"/>
    <w:rsid w:val="003950C0"/>
    <w:rsid w:val="00397E6C"/>
    <w:rsid w:val="0048533E"/>
    <w:rsid w:val="00557FBD"/>
    <w:rsid w:val="00572BA4"/>
    <w:rsid w:val="0081653C"/>
    <w:rsid w:val="0083555C"/>
    <w:rsid w:val="00984EF6"/>
    <w:rsid w:val="00AD15C8"/>
    <w:rsid w:val="00B551CC"/>
    <w:rsid w:val="00BA3FCF"/>
    <w:rsid w:val="00BA7142"/>
    <w:rsid w:val="00BF1016"/>
    <w:rsid w:val="00C94D01"/>
    <w:rsid w:val="00D75B0B"/>
    <w:rsid w:val="00E81502"/>
    <w:rsid w:val="00F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F809D"/>
  <w15:docId w15:val="{736FAED1-712D-48D4-9887-C37E5E35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qFormat/>
    <w:rPr>
      <w:rFonts w:ascii="Arial" w:eastAsia="Times New Roman" w:hAnsi="Arial" w:cs="Times New Roman"/>
      <w:b/>
      <w:i/>
      <w:sz w:val="26"/>
      <w:szCs w:val="20"/>
      <w:lang w:eastAsia="pt-BR"/>
    </w:rPr>
  </w:style>
  <w:style w:type="character" w:styleId="Nmerodepgina">
    <w:name w:val="page number"/>
    <w:qFormat/>
  </w:style>
  <w:style w:type="character" w:customStyle="1" w:styleId="i-nm">
    <w:name w:val="i-nm"/>
    <w:basedOn w:val="Fontepargpadr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next w:val="Standard"/>
    <w:qFormat/>
    <w:pPr>
      <w:ind w:firstLine="720"/>
    </w:pPr>
    <w:rPr>
      <w:rFonts w:ascii="Arial" w:eastAsia="Arial" w:hAnsi="Arial" w:cs="Arial"/>
      <w:b/>
    </w:rPr>
  </w:style>
  <w:style w:type="paragraph" w:customStyle="1" w:styleId="ndice">
    <w:name w:val="Índice"/>
    <w:basedOn w:val="Standard"/>
    <w:qFormat/>
    <w:pPr>
      <w:suppressLineNumbers/>
    </w:pPr>
    <w:rPr>
      <w:rFonts w:cs="Lucida Sans"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CabealhoeRodap">
    <w:name w:val="Cabeçalho e Rodapé"/>
    <w:basedOn w:val="Standard"/>
    <w:qFormat/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sz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 w:val="28"/>
    </w:rPr>
  </w:style>
  <w:style w:type="paragraph" w:styleId="Recuodecorpodetexto2">
    <w:name w:val="Body Text Indent 2"/>
    <w:basedOn w:val="Standard"/>
    <w:qFormat/>
    <w:pPr>
      <w:ind w:left="1701"/>
      <w:jc w:val="both"/>
    </w:pPr>
    <w:rPr>
      <w:rFonts w:ascii="Arial" w:eastAsia="Arial" w:hAnsi="Arial" w:cs="Arial"/>
      <w:b/>
      <w:i/>
      <w:sz w:val="26"/>
    </w:rPr>
  </w:style>
  <w:style w:type="paragraph" w:styleId="PargrafodaLista">
    <w:name w:val="List Paragraph"/>
    <w:basedOn w:val="Standard"/>
    <w:qFormat/>
    <w:pPr>
      <w:ind w:left="720"/>
    </w:pPr>
  </w:style>
  <w:style w:type="paragraph" w:customStyle="1" w:styleId="Contedodoquadro">
    <w:name w:val="Conteúdo do quadro"/>
    <w:basedOn w:val="Standard"/>
    <w:qFormat/>
  </w:style>
  <w:style w:type="paragraph" w:customStyle="1" w:styleId="Contedodatabela">
    <w:name w:val="Conteúdo da tabela"/>
    <w:basedOn w:val="Standard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Semlista1">
    <w:name w:val="Sem lista1"/>
    <w:qFormat/>
  </w:style>
  <w:style w:type="table" w:styleId="Tabelacomgrade">
    <w:name w:val="Table Grid"/>
    <w:basedOn w:val="Tabelanormal"/>
    <w:uiPriority w:val="39"/>
    <w:rsid w:val="00245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SEA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Bayestorff</dc:creator>
  <dc:description/>
  <cp:lastModifiedBy>Elizabeth Jacques Gomes</cp:lastModifiedBy>
  <cp:revision>11</cp:revision>
  <cp:lastPrinted>2018-04-13T16:58:00Z</cp:lastPrinted>
  <dcterms:created xsi:type="dcterms:W3CDTF">2026-01-30T18:51:00Z</dcterms:created>
  <dcterms:modified xsi:type="dcterms:W3CDTF">2026-01-30T19:59:00Z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