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CERTIDÃO</w:t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color w:val="000000" w:themeColor="text1"/>
          <w:sz w:val="22"/>
        </w:rPr>
        <w:t xml:space="preserve">Digitar texto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</w:t>
      </w:r>
      <w:r>
        <w:rPr>
          <w:rFonts w:ascii="Arial" w:hAnsi="Arial" w:cs="Arial" w:eastAsia="Arial"/>
          <w:color w:val="000000" w:themeColor="text1"/>
          <w:sz w:val="22"/>
        </w:rPr>
        <w:t xml:space="preserve"> texto.</w:t>
      </w:r>
      <w:r>
        <w:rPr>
          <w:rFonts w:ascii="Arial" w:hAnsi="Arial" w:cs="Arial" w:eastAsia="Arial"/>
          <w:color w:val="000000" w:themeColor="text1"/>
          <w:sz w:val="22"/>
        </w:rPr>
        <w:t xml:space="preserve"> </w:t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FF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  <w:color w:val="000000" w:themeColor="text1"/>
          <w:sz w:val="22"/>
        </w:rPr>
        <w:t xml:space="preserve">Digitar município, [dia] de [mês] de [ano]</w:t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pStyle w:val="249"/>
        <w:contextualSpacing w:val="true"/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color w:val="000000" w:themeColor="text1"/>
          <w:sz w:val="22"/>
        </w:rPr>
      </w:r>
      <w:r>
        <w:rPr>
          <w:rFonts w:ascii="Arial" w:hAnsi="Arial" w:cs="Arial" w:eastAsia="Arial"/>
        </w:rPr>
      </w:r>
      <w:r/>
    </w:p>
    <w:p>
      <w:pPr>
        <w:contextualSpacing w:val="true"/>
        <w:ind w:left="4819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nome</w:t>
      </w:r>
      <w:r>
        <w:rPr>
          <w:rFonts w:ascii="Arial" w:hAnsi="Arial" w:cs="Arial" w:eastAsia="Arial"/>
        </w:rPr>
      </w:r>
      <w:r/>
    </w:p>
    <w:p>
      <w:pPr>
        <w:contextualSpacing w:val="true"/>
        <w:ind w:left="4819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  <w:t xml:space="preserve">Digitar cargo do signatário</w:t>
      </w:r>
      <w:r>
        <w:rPr>
          <w:rFonts w:ascii="Arial" w:hAnsi="Arial" w:cs="Arial" w:eastAsia="Arial"/>
        </w:rPr>
      </w:r>
      <w:r/>
    </w:p>
    <w:p>
      <w:pPr>
        <w:contextualSpacing w:val="true"/>
        <w:ind w:left="4819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0"/>
        </w:rPr>
      </w:pPr>
      <w:r>
        <w:rPr>
          <w:rFonts w:ascii="Arial" w:hAnsi="Arial" w:cs="Arial" w:eastAsia="Arial"/>
          <w:sz w:val="20"/>
        </w:rPr>
        <w:t xml:space="preserve">(assinado digitalmente)</w:t>
      </w:r>
      <w:r>
        <w:rPr>
          <w:rFonts w:ascii="Arial" w:hAnsi="Arial" w:cs="Arial" w:eastAsia="Arial"/>
        </w:rPr>
      </w:r>
      <w:r/>
    </w:p>
    <w:sectPr>
      <w:headerReference w:type="default" r:id="rId7"/>
      <w:footerReference w:type="default" r:id="rId8"/>
      <w:footnotePr/>
      <w:type w:val="continuous"/>
      <w:pgSz w:w="11906" w:h="16838"/>
      <w:pgMar w:top="1134" w:right="850" w:bottom="1417" w:left="1417" w:gutter="0" w:header="283" w:footer="4059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20"/>
      <w:ind w:left="0" w:right="0" w:hanging="0"/>
      <w:jc w:val="left"/>
      <w:tabs>
        <w:tab w:val="clear" w:pos="7143" w:leader="none"/>
        <w:tab w:val="clear" w:pos="14287" w:leader="none"/>
      </w:tabs>
      <w:rPr>
        <w:rFonts w:ascii="Times New Roman" w:hAnsi="Times New Roman" w:cs="Times New Roman" w:eastAsia="Times New Roman"/>
        <w:sz w:val="24"/>
      </w:rPr>
    </w:pPr>
    <w:r>
      <w:rPr>
        <w:rFonts w:ascii="Times New Roman" w:hAnsi="Times New Roman" w:cs="Times New Roman" w:eastAsia="Times New Roman"/>
        <w:sz w:val="24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3" cy="5772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pPr>
      <w:pStyle w:val="220"/>
      <w:spacing w:lineRule="atLeast" w:line="283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