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tabs>
          <w:tab w:val="left" w:pos="8845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  <w:t xml:space="preserve">ATESTADO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o texto.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  <w:t xml:space="preserve">Digite o município, </w:t>
      </w:r>
      <w:r>
        <w:rPr>
          <w:rFonts w:ascii="Arial" w:hAnsi="Arial" w:cs="Arial" w:eastAsia="Arial"/>
          <w:sz w:val="22"/>
        </w:rPr>
        <w:t xml:space="preserve">[dia] de [mês] de [ano]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Nome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Cargo</w:t>
      </w:r>
      <w:r/>
    </w:p>
    <w:p>
      <w:pPr>
        <w:pStyle w:val="249"/>
        <w:ind w:left="4819" w:right="1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0"/>
        </w:rPr>
      </w:pPr>
      <w:r>
        <w:rPr>
          <w:rFonts w:ascii="Arial" w:hAnsi="Arial" w:cs="Arial" w:eastAsia="Arial"/>
          <w:sz w:val="20"/>
        </w:rPr>
        <w:t xml:space="preserve">(assinado digitalmente)</w:t>
      </w:r>
      <w:r>
        <w:rPr>
          <w:sz w:val="20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</w:tc>
    </w:tr>
  </w:tbl>
  <w:p>
    <w:pPr>
      <w:pStyle w:val="220"/>
      <w:jc w:val="left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