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36"/>
          <w:szCs w:val="36"/>
          <w:rtl w:val="0"/>
        </w:rPr>
        <w:t xml:space="preserve">PLANO DE GESTÃO DE ATIVOS DE INFORMAÇÃO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6120130" cy="6120130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06/07</w:t>
      </w:r>
      <w:r w:rsidDel="00000000" w:rsidR="00000000" w:rsidRPr="00000000">
        <w:rPr>
          <w:rFonts w:ascii="Arial" w:cs="Arial" w:eastAsia="Arial" w:hAnsi="Arial"/>
          <w:rtl w:val="0"/>
        </w:rPr>
        <w:t xml:space="preserve">/2021</w:t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1.0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HISTÓRICO DE ALTERAÇÕES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400"/>
      </w:tblPr>
      <w:tblGrid>
        <w:gridCol w:w="2430"/>
        <w:gridCol w:w="3605"/>
        <w:gridCol w:w="3603"/>
        <w:tblGridChange w:id="0">
          <w:tblGrid>
            <w:gridCol w:w="2430"/>
            <w:gridCol w:w="3605"/>
            <w:gridCol w:w="36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Documentação dos planos de Segurança da Informação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documento descreve os processos do Plano de Gestão de Ativos de Informação.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Criado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GESIN – DITI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06/07/2021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Gerência de Infraestrutura e Segurança da Informação</w:t>
            </w:r>
          </w:p>
        </w:tc>
      </w:tr>
    </w:tbl>
    <w:p w:rsidR="00000000" w:rsidDel="00000000" w:rsidP="00000000" w:rsidRDefault="00000000" w:rsidRPr="00000000" w14:paraId="0000001C">
      <w:pPr>
        <w:rPr/>
        <w:sectPr>
          <w:headerReference r:id="rId8" w:type="default"/>
          <w:pgSz w:h="16838" w:w="11906" w:orient="portrait"/>
          <w:pgMar w:bottom="1134" w:top="1693" w:left="1134" w:right="1134" w:header="1134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0"/>
        <w:shd w:fill="auto" w:val="clear"/>
        <w:spacing w:after="120" w:before="240" w:line="360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1fob9te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GESTÃO DE ATIVOS DE INFORMAÇÃO: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PAPÉIS E RESPONSABILIDADES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 DE EXECUÇÃO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FERRAMENTAS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DIVISÃO DOS ATIVOS EM GRUPOS: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E INVENTÁRIO DOS ATIVOS DE INFORMAÇÃO: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INVENTÁRIO DE ATIVOS FÍSICOS: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AQUISIÇÃO DE ATIVOS FÍSICOS: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ARMAZENAMENTO DE ATIVOS FÍSICOS: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CONFIGURAÇÃO DE ATIVOS DE TI E IMPLEMENTAÇÃO DE MECANISMOS DE SEGURANÇA: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DISTRIBUIÇÃO DE ATIVOS FÍSICOS DE TI: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 E MONITORAMENTO DOS ATIVOS DE TI: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GERENCIAMENTO DA MOVIMENTAÇÃO DOS ATIVOS FÍSICOS DE TI: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INVENTÁRIO DE ATIVOS DE SOFTWARES: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AQUISIÇÃO DE ATIVOS DE SOFTWARES: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AQUISIÇÃO DE DESENVOLVIMENTO E MANUTENÇÃO DE SOFTWARES: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 – MODELO TABELA DE ATIVOS DA INFORMAÇÃO POR NÍVEL: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II – MODELO DE RELATÓRIO DE INVENTÁRIO DE ATIVOS DA INFORMAÇÃO: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III – MODELO RELATÓRIO DE INVENTÁRIO DE ATIVOS FÍSICOS: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IV – MODELO RELATÓRIO DE INVENTÁRIO DE ATIVOS DE SOFTWARES: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keepNext w:val="0"/>
        <w:keepLines w:val="0"/>
        <w:widowControl w:val="0"/>
        <w:tabs>
          <w:tab w:val="right" w:pos="9638"/>
        </w:tabs>
        <w:spacing w:after="0" w:before="0" w:line="360" w:lineRule="auto"/>
        <w:ind w:left="8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PLANO DE GESTÃO DE ATIVOS DE INFORMAÇÃO: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 gestão de ativos dentro do órgão é fundamental para que se alcance os objetivos traçados no planejamento estratégico. Diante disso, se faz necessário a gestão de software e ativos físicos, a fim de criar procedimentos capazes de garantir a disponibilidade e integridade dos ativos em uso, preservando assim a informação gerada ou mantida.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Estabelecer padrões para que os ativos de tecnologia da informação do órgão sejam identificados; definir responsabilidades apropriadas para proteção e divulgação da gestão dos ativos da informação, por meio do estabelecimento e manutenção de inventários, além de assegurar que o ciclo de vida dos ativos seja realizado e gerenciado para garantir a Segurança da Informação e o atendimento às legislações, normas e boas práticas recomendadas.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processo de gestão de ativos deve levar em consideração as fases do ciclo de vida do ativo: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7"/>
        </w:numP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Planejamento – Fase de alinhamento das ações com a estratégia corporativa. Esta fase envolve a revisão dos ativos que são atualmente usados em toda a organização e análise dos custos de compra e instalação de novos ativos de TI.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7"/>
        </w:numP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Aquisição – Fase de definição do padrão técnico, empresas fornecedoras, contratações e estabelecimento de acordo contratuais;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7"/>
        </w:numP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Implantação - Fase de configuração/instalação técnica e disponibilização conforme padrões estabelecidos;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7"/>
        </w:numP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Gerenciamento - Fase de controle, apoio técnico, manutenção, atualização e monitoração;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7"/>
        </w:numPr>
        <w:shd w:fill="auto" w:val="clear"/>
        <w:spacing w:after="140" w:before="0" w:line="276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Descarte – Processo realizado quando um bem perde sua utilidade e torna-se antieconômico. Esta fase corresponde a transferência de um bem para uma outra categoria, que são: material obsoleto, inservível ou excedente.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PAPÉIS E RESPONSABILIDADES</w:t>
      </w:r>
    </w:p>
    <w:tbl>
      <w:tblPr>
        <w:tblStyle w:val="Table2"/>
        <w:tblW w:w="9638.0" w:type="dxa"/>
        <w:jc w:val="left"/>
        <w:tblInd w:w="0.0" w:type="dxa"/>
        <w:tblLayout w:type="fixed"/>
        <w:tblLook w:val="0400"/>
      </w:tblPr>
      <w:tblGrid>
        <w:gridCol w:w="2040"/>
        <w:gridCol w:w="2125"/>
        <w:gridCol w:w="5473"/>
        <w:tblGridChange w:id="0">
          <w:tblGrid>
            <w:gridCol w:w="2040"/>
            <w:gridCol w:w="2125"/>
            <w:gridCol w:w="547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Papéis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Setor Responsável pela Segurança da Informação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Setor responsável pela normatização e atualização das normas de segurança da informação, em conjunto com as demais áreas competentes.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Coordenar a elaboração do Plano de gestão dos ativos de TI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Subsidiar o Comitê Gestor de Segurança da Informação com informações pertinentes à gestão dos ativos de TI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Propor ações de sensibilização e conscientização referentes à gestão de ativos de 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Divisões DITI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Setores responsáveis por analisar, propor melhorias e validar processos, projetos e ações relativas à implementação do SGSI.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Propor ao Comitê Gestor de Segurança da Informação as diretrizes estratégicas de gestão dos ativos de TI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Propor projetos e iniciativas para o aperfeiçoamento da gestão dos ativos de TI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Garantir a operacionalização, a exequibilidade e a eficácia dos processos do plano de gestão dos ativos de TI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Realizar inventário dos ativos de TI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CONTROLE DE EXECUÇÃO</w:t>
      </w:r>
    </w:p>
    <w:tbl>
      <w:tblPr>
        <w:tblStyle w:val="Table3"/>
        <w:tblW w:w="9638.0" w:type="dxa"/>
        <w:jc w:val="left"/>
        <w:tblInd w:w="0.0" w:type="dxa"/>
        <w:tblLayout w:type="fixed"/>
        <w:tblLook w:val="0400"/>
      </w:tblPr>
      <w:tblGrid>
        <w:gridCol w:w="2607"/>
        <w:gridCol w:w="5811"/>
        <w:gridCol w:w="1220"/>
        <w:tblGridChange w:id="0">
          <w:tblGrid>
            <w:gridCol w:w="2607"/>
            <w:gridCol w:w="5811"/>
            <w:gridCol w:w="1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Método de execução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Frequência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Setor Responsável pela Segurança da Informação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Execução do processo de conscientização e treinamento em segurança da informação com o objetivo de identificar novas ações voltadas à melhoria do desempenho do plano de gestão de ativos.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Anual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Execução do processo de elaboração e revisão de normas de segurança da informação com o objetivo de identificar normativos a serem elaborados necessários para a implementação do plano de gestão de ativos.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Divisões DITI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Realização de auditorias internas com o intuito de medir a efetividade dos processos componentes do plano de gestão de ativos e identificar oportunidades de melhorias.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Gestora de</w:t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Segurança da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Verificação do desempenho do macroprocesso por meio do cumprimento das metas estabelecidas nos indicadores de desempenho, com possibilidade de atualização das metas e redefinição dos indicadores.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Anual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FERRAMENTAS</w:t>
      </w:r>
    </w:p>
    <w:tbl>
      <w:tblPr>
        <w:tblStyle w:val="Table4"/>
        <w:tblW w:w="9638.0" w:type="dxa"/>
        <w:jc w:val="left"/>
        <w:tblInd w:w="0.0" w:type="dxa"/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desempenho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Metas de desempenho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Inventário dos ativos de Informação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para distribuição dos ativos de Informação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 para definição final do ciclo de vida dos ativos de Informação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médio do tempo de vida dos ativos de Informação por tipo de ativo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Registros de manutenção dos ativos de Informação por tipo de ativo e fabricante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t3h5sf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DIVISÃO DOS ATIVOS EM GRUPOS: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a divisão dos ativos em grupos observando suas características listadas abaixo: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spacing w:line="360" w:lineRule="auto"/>
        <w:ind w:left="143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Ativos de informação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- São dados em tráfego ou armazenados em sistemas de informação, estejam estes em formato lógico (elétrico, magnético ou óptico) ou físico (impressos).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18"/>
        </w:numPr>
        <w:spacing w:line="360" w:lineRule="auto"/>
        <w:ind w:left="215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físicos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Equipamentos que compõem os recursos de tecnologia e de informática, como computadores, mídias removíveis, equipamentos de comunicação e conectividade, entre outros, e suas respectivas instalações.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1"/>
          <w:numId w:val="18"/>
        </w:numPr>
        <w:shd w:fill="auto" w:val="clear"/>
        <w:spacing w:after="0" w:before="0" w:line="360" w:lineRule="auto"/>
        <w:ind w:left="2154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de softwares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Os programas, sistemas, ferramentas e utilitários adquiridos ou desenvolvidos pelo próprio órgão e que fazem parte das atividades em seu dia-a-dia.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Suporte e Gestão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de cada 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Relatórios de ativos geral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Dividir ativos com o estabelecimento de critérios para a categorização dos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Revisar lista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ativos por grupos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d34og8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CLASSIFICAÇÃO E INVENTÁRIO DOS ATIVOS DE INFORMAÇÃO: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informação é considerada como patrimônio, em virtude de sua importância, deve ser protegida adequadamente. Para tanto, faz-se necessário que a informação seja classificada segundo sua relevância, através de níveis de sigilo correspondentes ao seu ciclo de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classificação da informação é o processo que define seu nível de confidencialidade, considerando a sua importância na organização e os impactos decorrentes dos acessos das pessoas, áreas organizacionais e público em geral. Além disso, observa-se também quais processos devem ser seguidos para garantir a proteção das informações.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informação deve ser classificada em níveis de acesso da seguinte maneira: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1"/>
          <w:numId w:val="4"/>
        </w:numP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necessitam de proteção, 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uso livre e seu conteúdo possa ser divulgado publicamente;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1"/>
          <w:numId w:val="4"/>
        </w:numP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baixo nível de confidencialidade.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Tramita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internamente na esfera de cada órgão ou entre diferentes órgãos estaduais e não estiver claramente classificada como pública, reservada, secreta ou ultrassecreta e a divulgação de seu conteúdo possa prejudicar a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1"/>
          <w:numId w:val="4"/>
        </w:numP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Reservada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nível médio de confidencialidade.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ramita no âmbito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red"/>
          <w:rtl w:val="0"/>
        </w:rPr>
        <w:t xml:space="preserve">&lt;...&gt;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cujo conteúdo, se divulgado, possa comprometer o mesmo e/ou de outrem;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1"/>
          <w:numId w:val="4"/>
        </w:numP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rtl w:val="0"/>
        </w:rPr>
        <w:t xml:space="preserve">nível mais alto,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 pode ser acessada apenas por um grupo restrito de pessoas, de forma que sua divulgação não autorizada pode implicar em perdas financeiras ou prejudicar a reputação/imagem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red"/>
          <w:rtl w:val="0"/>
        </w:rPr>
        <w:t xml:space="preserve">&lt;...&gt;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Gestor de cada 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Relatórios de ativos da Informação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Classificar ativos da Informação com o estabelecimento de critérios para a categorização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Classificar ativos da Informação por ciclo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inventário dos ativos da Informação identificando o proprietário e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19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Tabela de ativos da Informação categorizados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19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de Ativos da Informação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s8eyo1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INVENTÁRIO DE ATIVOS FÍSICOS: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um levantamento quantitativo detalhado de todos os ativos físicos - equipamentos que compõem os recursos de tecnologia e de informática, como computadores, mídias removíveis, equipamentos de comunicação e conectividade, entre </w:t>
      </w:r>
      <w:r w:rsidDel="00000000" w:rsidR="00000000" w:rsidRPr="00000000">
        <w:rPr>
          <w:rFonts w:ascii="Arial" w:cs="Arial" w:eastAsia="Arial" w:hAnsi="Arial"/>
          <w:rtl w:val="0"/>
        </w:rPr>
        <w:t xml:space="preserve">outros, e suas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respectivas instalações.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Suporte e Gestão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Patrimônio e gestão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Ferramenta para identificar ativos ou entrada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Executar inventário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Classificar ativos com o estabelecimento de critérios para a categorização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Atualizar itens de configuração dos ativos de TI por tipo de ativo (hardware, software, usuário)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Validar relatório de ativos não contemplados no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aquisição e distribuição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expiração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relotação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Levantar quantitativo de ativos por tipo e por lotação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contratos de suporte e garantia a serem renovados ou encerrados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Confrontar demandas por novos ativos com estoque disponível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divergência entre quantitativo inventariado dos ativos de TI e o quantitativo de ativos de TI patrimoniados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Revisar lista de ativos inseridos no plano de contratação de cada divisão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de dados do software de gerenciamento de ativos ou planilha atualizada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categorizados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de configuração atualizados de cada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Emissão de relatórios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a serem adquiridos;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a serem distribuídos/relotados;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por tipo;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por lotação;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do prazo de garantia por ativo;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fora da garantia;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sem contrato de suporte.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7dp8vu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AQUISIÇÃO DE ATIVOS FÍSICOS:</w:t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Receber novo ativo de TI de fornecedor, concluído o processo aquisitivo.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Novo Contrato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Ler novo contrato de TI e verificar se fornecedor atendeu ao objeto contratado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Validar se ativo entregue pelo fornecedor é o que consta no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testes de funcionalidade do ativo antes do aceite final para avaliar sua qualidade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Preencher termo de aceite definitivo e receber ativo de TI do fornecedor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aceite definitivo preenchido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rdcrjn" w:id="10"/>
      <w:bookmarkEnd w:id="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ARMAZENAMENTO DE ATIVOS FÍSICOS:</w:t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entrada no sistema de controle de estoque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red"/>
          <w:rtl w:val="0"/>
        </w:rPr>
        <w:t xml:space="preserve">&lt;...&gt;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possuir ou planilhar e armazenar corretamente os ativos no almoxarifado.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Setor de Patrimônio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patrimônio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de TI Físico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relatório de patrimônio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Atualizar controles e sistemas internos de início de ciclo de vida de ativo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numPr>
          <w:ilvl w:val="0"/>
          <w:numId w:val="9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Controles e sistemas atualizados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numPr>
          <w:ilvl w:val="0"/>
          <w:numId w:val="9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de TI armazenado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6in1rg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CONFIGURAÇÃO DE ATIVOS DE TI E IMPLEMENTAÇÃO DE MECANISMOS DE SEGURANÇA: </w:t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numPr>
          <w:ilvl w:val="0"/>
          <w:numId w:val="1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Manter todos os ativos de TI com as configurações padrão estabelecidas nos normativos vigentes e implementar os mecanismos de segurança necessários ao seu uso.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vigentes relacionadas aos padrões de configuração e mecanismos de segurança estabelecidos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de configuração do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Levantar normas vigentes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atualização ou elaboração de nova norma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Configurar ativo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Implementar mecanismos de segurança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atualizadas ou elaboradas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de TI configurado e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lnxbz9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DISTRIBUIÇÃO DE ATIVOS FÍSICOS DE TI: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numPr>
          <w:ilvl w:val="0"/>
          <w:numId w:val="1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alocação mínima de ativos por lotação do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red"/>
          <w:rtl w:val="0"/>
        </w:rPr>
        <w:t xml:space="preserve">&lt;...&gt;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permitir a continuidade da execução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Solicitação de distribuição de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a serem adquiridos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a serem distribuídos/relotados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por tipo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ativos por lotação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lotações com quantitativo de ativos divergente das normas vigentes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Levantar normas vigentes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atualização ou elaboração de nova norma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Configurar ativo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Implementar mecanismos de segurança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atualizadas ou elaboradas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de TI configurado e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5nkun2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MANUTENÇÃO E MONITORAMENTO DOS ATIVOS DE TI:</w:t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numPr>
          <w:ilvl w:val="0"/>
          <w:numId w:val="15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o pleno funcionamento dos ativos de físicos de TI para a execução das atividades contratadas.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Abrir chamado na central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de garantia e de suporte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Histórico de manutenção do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com o resultado da manutenção preventiva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chamado técnico de manutenção do ativo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Analisar justificativa pelo chamado de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se ativo de TI está coberto por garantia e acionar empresa contratada, se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se o ativo de TI está coberto por contrato de suporte e acionar empresa contratada, se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manutenção no ativo por meio de empresa contratada ou TSI da 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Substituir ativo, caso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manutenção preventiva periódica nos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Registrar manutenção, destacando motivo da solicitação e solução para o problema.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numPr>
          <w:ilvl w:val="0"/>
          <w:numId w:val="2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 de TI mantido ou substituído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numPr>
          <w:ilvl w:val="0"/>
          <w:numId w:val="2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Planilhas de controle atualizadas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ksv4uv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GERENCIAMENTO DA MOVIMENTAÇÃO DOS ATIVOS FÍSICOS DE TI:</w:t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numPr>
          <w:ilvl w:val="0"/>
          <w:numId w:val="5"/>
        </w:numPr>
        <w:shd w:fill="auto" w:val="clear"/>
        <w:spacing w:after="0" w:before="0" w:line="360" w:lineRule="auto"/>
        <w:ind w:left="714" w:right="0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processo do gerenciamento de ativos de TI, visa monitorar o estágio do ciclo de vida dos ativos de TI, subsidiando a tomada de decisão quanto à necessidade e momento de aquisição de novos ativos, como a expiração da vida útil deles. Visa ainda controlar a adequação do uso dos ativos à execução dos serviços, além da garantia dos ativos de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Relatórios de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Contratos de garantia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Contratos de suporte 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componentes do item de configuração do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Controlar a incidência de manutenção dos ativos, confrontando as justificativas pela manutenção e soluções implementadas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momento de expiração do ativo de TI (baixa, doação, descarte,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momento de iniciar o planejamento de contratação de novos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Controlar se o plano de manutenção preventiva está sendo cumprido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Controlar devolução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capacitação dos usuários para uso dos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atualização da lotação do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Gerir o custo total de propriedade dos ativos de TI (aquisição, implementação, manutenção e suporte), comparando o custo de manutenção dos ativos com o custo de aquisição/garantia de novos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conformidade do uso dos ativos com as normas, padrões e licenças vigentes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0"/>
          <w:numId w:val="16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adequada configuração e mecanismos de segurança dos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Indicação de aquisição de novos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expiração de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Indicação para inclusão de treinamento no plano de capacitação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custo total de propriedade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término de contratos de garantia, suporte e licenças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lotação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usuários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dos itens de configuração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dos itens de configuração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numPr>
          <w:ilvl w:val="0"/>
          <w:numId w:val="17"/>
        </w:numPr>
        <w:shd w:fill="auto" w:val="clear"/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dos mecanismos de segurança dos ativos de 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4sinio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INVENTÁRIO DE ATIVOS DE SOFTWARES: </w:t>
      </w:r>
    </w:p>
    <w:p w:rsidR="00000000" w:rsidDel="00000000" w:rsidP="00000000" w:rsidRDefault="00000000" w:rsidRPr="00000000" w14:paraId="000001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um levantamento quantitativo detalhado de ativos de softwares - os programas, sistemas, ferramentas e utilitários adquiridos ou desenvolvidos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red"/>
          <w:rtl w:val="0"/>
        </w:rPr>
        <w:t xml:space="preserve">&lt;...&gt;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que fazem parte das atividades em seu dia-a-dia.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Divisão Suporte e Gestão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Levantamento de Ativos de Softwares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aquisição ou atualização de licenças de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softwares a serem desinstalados por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 de aquisição e distribuição de 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contratos de suporte e garantia a serem renovados ou encerrados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numPr>
          <w:ilvl w:val="0"/>
          <w:numId w:val="10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Revisar lista de ativos inseridos no plano de contratação de cada divisão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de dados do software de gerenciamento de ativos atualizada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Ativos categorizados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de configuração atualizados de cada 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numPr>
          <w:ilvl w:val="0"/>
          <w:numId w:val="11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Emissão de relatórios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licenças de software a serem renovadas;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licenças de software a serem canceladas;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numPr>
          <w:ilvl w:val="0"/>
          <w:numId w:val="13"/>
        </w:numPr>
        <w:shd w:fill="auto" w:val="clear"/>
        <w:spacing w:after="0" w:before="0" w:line="240" w:lineRule="auto"/>
        <w:ind w:left="1074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softwares a serem desinstalados;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jxsxqh" w:id="16"/>
      <w:bookmarkEnd w:id="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AQUISIÇÃO DE ATIVOS DE SOFTWARES:</w:t>
      </w:r>
    </w:p>
    <w:p w:rsidR="00000000" w:rsidDel="00000000" w:rsidP="00000000" w:rsidRDefault="00000000" w:rsidRPr="00000000" w14:paraId="000001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processos de aquisição de sistemas de informação devem seguir metodologia formal, a partir de uma análise crítica, que contemple aspectos relacionados às exigências legais vigentes e de segurança da informação.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Gerência de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Novo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descrição técnica detalhada do produto ou serviço a ser adquirido;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um estudo de viabilidade, contendo um detalhamento das soluções analisadas para justificar a escolha da contratação de sistemas;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Prever modificações que visam as correções de falhas;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regras para atividades de transição contratual qua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aplicáveis e no caso de encerramento de contrato essa deve fornecer os dados atualizados;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Preencher contrato de aquisição e manutenção do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aceite definitivo preenchido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z337ya" w:id="17"/>
      <w:bookmarkEnd w:id="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AQUISIÇÃO DE DESENVOLVIMENTO E MANUTENÇÃO DE SOFTWARES:</w:t>
      </w:r>
    </w:p>
    <w:p w:rsidR="00000000" w:rsidDel="00000000" w:rsidP="00000000" w:rsidRDefault="00000000" w:rsidRPr="00000000" w14:paraId="000001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numPr>
          <w:ilvl w:val="0"/>
          <w:numId w:val="14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aquisição, desenvolvimento e manutenção de sistemas de informação deve ser submetido a um processo de gestão de mudança de forma a garantir o controle efetivo das modificações realizadas nos diversos ambientes, com o objetivo de registrar, avaliar e autorizar qualquer modificação nos sistemas de informação.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Gerência de 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numPr>
          <w:ilvl w:val="0"/>
          <w:numId w:val="4"/>
        </w:numPr>
        <w:shd w:fill="auto" w:val="clear"/>
        <w:spacing w:after="0" w:before="0" w:line="360" w:lineRule="auto"/>
        <w:ind w:left="714" w:right="0" w:hanging="35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Demais Divisões da DITI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Entradas: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de Desenvolvimento de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Descrição das Atividades: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Classificar do sistema e definir local de hospedagem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grau de acessibilidade aos dados e sua origem e formato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Validação de segurança, visando minimizar os riscos e encontrar possíveis vulnerabilidades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aderência do sistema de informação às normas de segurança de informações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Restringir acesso aos ambientes de desenvolvimento, teste, homologação e produção a perfis definidos pelo órgão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metodologia de desenvolvimento e manutenção do sistema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Adotar procedimentos de mascaramento de dados para todo dado classificado como confidencial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efetividade do processo de gestão de mudança, analisar o impacto e minimizar os riscos de uma modificação em ambientes diversos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que a atualização dos códigos-fontes deve ser efetuada apenas após autorização formal, seguindo procedimentos de controle e de mudança e versão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numPr>
          <w:ilvl w:val="0"/>
          <w:numId w:val="8"/>
        </w:numP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Realização de testes antes de liberação de novas versões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Saídas: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numPr>
          <w:ilvl w:val="0"/>
          <w:numId w:val="12"/>
        </w:numPr>
        <w:shd w:fill="auto" w:val="clear"/>
        <w:spacing w:after="0" w:before="0" w:line="360" w:lineRule="auto"/>
        <w:ind w:left="78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1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j2qqm3" w:id="18"/>
      <w:bookmarkEnd w:id="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ANEXO I – MODELO TABELA DE ATIVOS DA INFORMAÇÃO POR NÍVEL:</w:t>
      </w:r>
    </w:p>
    <w:tbl>
      <w:tblPr>
        <w:tblStyle w:val="Table5"/>
        <w:tblW w:w="10031.0" w:type="dxa"/>
        <w:jc w:val="left"/>
        <w:tblInd w:w="0.0" w:type="dxa"/>
        <w:tblLayout w:type="fixed"/>
        <w:tblLook w:val="0400"/>
      </w:tblPr>
      <w:tblGrid>
        <w:gridCol w:w="2176"/>
        <w:gridCol w:w="1617"/>
        <w:gridCol w:w="2136"/>
        <w:gridCol w:w="2124"/>
        <w:gridCol w:w="1978"/>
        <w:tblGridChange w:id="0">
          <w:tblGrid>
            <w:gridCol w:w="2176"/>
            <w:gridCol w:w="1617"/>
            <w:gridCol w:w="2136"/>
            <w:gridCol w:w="2124"/>
            <w:gridCol w:w="1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Ciclo de Vida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Nível 1 - Público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Nível 2 – Interna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Nível 3 – Reservada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Nível 4 – Secreta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Liberação de acesso lógico.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Procedimento padrão de liberação de acesso.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Procedimento padrão de liberação de acesso.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Liberação deve ser feita exclusivamente pelo proprietário da informação.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Armazenamento físico.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local livre do acesso ao público externo.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local restrito ao grupo de acesso.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armário ou gaveta com chave.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Armazenamento lógico.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Sistema de arquivos da empresa.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pasta compartilhada restrita ao grupo de acesso.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 pasta específica do proprietário da informação, preferencialmente criptografada.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Compartilhamento lógico.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 dentro da organização. Somente via canal seguro para fora da organização.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 ser sempre compartilhado através de canal seguro.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 ser sempre compartilhado através de canal seguro. Preferencialmente a informação deve estar criptografada.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Descarte físico.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Através de picotadora de papel.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Através de picotadora de papel.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Descarte lógico.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 restrição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Excluir da pasta de origem e da lixeira.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Excluir da pasta de origem e da lixeira. Garantir que será excluído dos backups futuros.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Exclusão segura (wipe) de todos os locais em que o arquivo tenha sido gravado.</w:t>
            </w:r>
          </w:p>
        </w:tc>
      </w:tr>
    </w:tbl>
    <w:p w:rsidR="00000000" w:rsidDel="00000000" w:rsidP="00000000" w:rsidRDefault="00000000" w:rsidRPr="00000000" w14:paraId="0000019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y810tw" w:id="19"/>
      <w:bookmarkEnd w:id="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ANEXO II – MODELO DE RELATÓRIO DE INVENTÁRIO DE ATIVOS DA INFORMAÇÃO: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de Versões</w:t>
      </w:r>
      <w:r w:rsidDel="00000000" w:rsidR="00000000" w:rsidRPr="00000000">
        <w:rPr>
          <w:rtl w:val="0"/>
        </w:rPr>
      </w:r>
    </w:p>
    <w:tbl>
      <w:tblPr>
        <w:tblStyle w:val="Table6"/>
        <w:tblW w:w="9777.0" w:type="dxa"/>
        <w:jc w:val="left"/>
        <w:tblInd w:w="0.0" w:type="dxa"/>
        <w:tblLayout w:type="fixed"/>
        <w:tblLook w:val="0400"/>
      </w:tblPr>
      <w:tblGrid>
        <w:gridCol w:w="2444"/>
        <w:gridCol w:w="2444"/>
        <w:gridCol w:w="2445"/>
        <w:gridCol w:w="2444"/>
        <w:tblGridChange w:id="0">
          <w:tblGrid>
            <w:gridCol w:w="2444"/>
            <w:gridCol w:w="2444"/>
            <w:gridCol w:w="2445"/>
            <w:gridCol w:w="24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Notas de Revisão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de Ativos da Informação</w:t>
      </w:r>
      <w:r w:rsidDel="00000000" w:rsidR="00000000" w:rsidRPr="00000000">
        <w:rPr>
          <w:rtl w:val="0"/>
        </w:rPr>
      </w:r>
    </w:p>
    <w:tbl>
      <w:tblPr>
        <w:tblStyle w:val="Table7"/>
        <w:tblW w:w="9857.0" w:type="dxa"/>
        <w:jc w:val="center"/>
        <w:tblLayout w:type="fixed"/>
        <w:tblLook w:val="0400"/>
      </w:tblPr>
      <w:tblGrid>
        <w:gridCol w:w="2011"/>
        <w:gridCol w:w="4696"/>
        <w:gridCol w:w="1470"/>
        <w:gridCol w:w="1680"/>
        <w:tblGridChange w:id="0">
          <w:tblGrid>
            <w:gridCol w:w="2011"/>
            <w:gridCol w:w="4696"/>
            <w:gridCol w:w="1470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das Informações Aplicáveis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Proprietário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Comunicados Legais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São todas as informações que precisam ser tornadas públicas por força de requisitos legais. O pertencimento de um ativo de informação a esta classe deve ser justificado pela demonstração do respectivo requisito legal;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Procedimentos Operacionais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São todos procedimentos operacionais da organização, os quais podem ser de conhecimento de todos os colaboradores sem qualquer tipo de prejuízo à organização. Exceções à esta classe devem ser rotuladas e tratadas de modo específico;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Comunicados Normativos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São Informações da Diretoria de interesse geral, para ampla divulgação;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Restrito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Credenciais de Acesso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São as informações de credenciais de acesso (usuário e senha acesso) aos mais diversos recursos da organização;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Pessoal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Confidencial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___ de 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&lt;nome completo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&lt;cargo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i7ojhp" w:id="20"/>
      <w:bookmarkEnd w:id="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ANEXO III – MODELO RELATÓRIO DE INVENTÁRIO DE ATIVOS FÍSICOS: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de Versões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7.0" w:type="dxa"/>
        <w:jc w:val="left"/>
        <w:tblInd w:w="0.0" w:type="dxa"/>
        <w:tblLayout w:type="fixed"/>
        <w:tblLook w:val="0400"/>
      </w:tblPr>
      <w:tblGrid>
        <w:gridCol w:w="2444"/>
        <w:gridCol w:w="2444"/>
        <w:gridCol w:w="2445"/>
        <w:gridCol w:w="2444"/>
        <w:tblGridChange w:id="0">
          <w:tblGrid>
            <w:gridCol w:w="2444"/>
            <w:gridCol w:w="2444"/>
            <w:gridCol w:w="2445"/>
            <w:gridCol w:w="24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Notas de Revisão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de Ativos Físicos</w:t>
      </w:r>
      <w:r w:rsidDel="00000000" w:rsidR="00000000" w:rsidRPr="00000000">
        <w:rPr>
          <w:rtl w:val="0"/>
        </w:rPr>
      </w:r>
    </w:p>
    <w:tbl>
      <w:tblPr>
        <w:tblStyle w:val="Table9"/>
        <w:tblW w:w="9853.0" w:type="dxa"/>
        <w:jc w:val="left"/>
        <w:tblInd w:w="0.0" w:type="dxa"/>
        <w:tblLayout w:type="fixed"/>
        <w:tblLook w:val="0400"/>
      </w:tblPr>
      <w:tblGrid>
        <w:gridCol w:w="1241"/>
        <w:gridCol w:w="1418"/>
        <w:gridCol w:w="1844"/>
        <w:gridCol w:w="2097"/>
        <w:gridCol w:w="1627"/>
        <w:gridCol w:w="1626"/>
        <w:tblGridChange w:id="0">
          <w:tblGrid>
            <w:gridCol w:w="1241"/>
            <w:gridCol w:w="1418"/>
            <w:gridCol w:w="1844"/>
            <w:gridCol w:w="2097"/>
            <w:gridCol w:w="1627"/>
            <w:gridCol w:w="16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Características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widowControl w:val="0"/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___ de 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&lt;nome completo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&lt;cargo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xcytpi" w:id="21"/>
      <w:bookmarkEnd w:id="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9bd5"/>
          <w:sz w:val="36"/>
          <w:szCs w:val="36"/>
          <w:u w:val="none"/>
          <w:shd w:fill="auto" w:val="clear"/>
          <w:vertAlign w:val="baseline"/>
          <w:rtl w:val="0"/>
        </w:rPr>
        <w:t xml:space="preserve">ANEXO IV – MODELO RELATÓRIO DE INVENTÁRIO DE ATIVOS DE SOFTWARES: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de Versões</w:t>
      </w:r>
      <w:r w:rsidDel="00000000" w:rsidR="00000000" w:rsidRPr="00000000">
        <w:rPr>
          <w:rtl w:val="0"/>
        </w:rPr>
      </w:r>
    </w:p>
    <w:tbl>
      <w:tblPr>
        <w:tblStyle w:val="Table10"/>
        <w:tblW w:w="9777.0" w:type="dxa"/>
        <w:jc w:val="left"/>
        <w:tblInd w:w="0.0" w:type="dxa"/>
        <w:tblLayout w:type="fixed"/>
        <w:tblLook w:val="0400"/>
      </w:tblPr>
      <w:tblGrid>
        <w:gridCol w:w="2444"/>
        <w:gridCol w:w="2444"/>
        <w:gridCol w:w="2445"/>
        <w:gridCol w:w="2444"/>
        <w:tblGridChange w:id="0">
          <w:tblGrid>
            <w:gridCol w:w="2444"/>
            <w:gridCol w:w="2444"/>
            <w:gridCol w:w="2445"/>
            <w:gridCol w:w="24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Notas de Revisão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de Ativos de Software</w:t>
      </w: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0.0" w:type="dxa"/>
        <w:tblLayout w:type="fixed"/>
        <w:tblLook w:val="0400"/>
      </w:tblPr>
      <w:tblGrid>
        <w:gridCol w:w="1241"/>
        <w:gridCol w:w="2836"/>
        <w:gridCol w:w="5701"/>
        <w:tblGridChange w:id="0">
          <w:tblGrid>
            <w:gridCol w:w="1241"/>
            <w:gridCol w:w="2836"/>
            <w:gridCol w:w="5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___ de 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&lt;nome completo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shd w:fill="auto" w:val="clear"/>
        <w:spacing w:after="140" w:before="0" w:line="276" w:lineRule="auto"/>
        <w:ind w:left="2268" w:right="0" w:firstLine="1134.0000000000005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&lt;cargo da autoridade&gt;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38" w:w="11906" w:orient="portrait"/>
      <w:pgMar w:bottom="1701" w:top="1701" w:left="1134" w:right="1134" w:header="1134" w:footer="113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widowControl w:val="0"/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2232660</wp:posOffset>
          </wp:positionH>
          <wp:positionV relativeFrom="paragraph">
            <wp:posOffset>-558162</wp:posOffset>
          </wp:positionV>
          <wp:extent cx="1631315" cy="904875"/>
          <wp:effectExtent b="0" l="0" r="0" t="0"/>
          <wp:wrapSquare wrapText="bothSides" distB="0" distT="0" distL="0" distR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131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3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4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  <w:highlight w:val="red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highlight w:val="red"/>
        <w:rtl w:val="0"/>
      </w:rPr>
      <w:t xml:space="preserve">Gerência de Infraestrutura e Segurança da Informação – GESIN - DITI</w:t>
    </w:r>
  </w:p>
  <w:p w:rsidR="00000000" w:rsidDel="00000000" w:rsidP="00000000" w:rsidRDefault="00000000" w:rsidRPr="00000000" w14:paraId="000002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2232660</wp:posOffset>
          </wp:positionH>
          <wp:positionV relativeFrom="paragraph">
            <wp:posOffset>-558162</wp:posOffset>
          </wp:positionV>
          <wp:extent cx="1631315" cy="90487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131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7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8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  <w:highlight w:val="red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highlight w:val="red"/>
        <w:rtl w:val="0"/>
      </w:rPr>
      <w:t xml:space="preserve">Gerência de Infraestrutura e Segurança da Informação – GESIN - DITI</w:t>
    </w:r>
  </w:p>
  <w:p w:rsidR="00000000" w:rsidDel="00000000" w:rsidP="00000000" w:rsidRDefault="00000000" w:rsidRPr="00000000" w14:paraId="000002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107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o"/>
      <w:lvlJc w:val="left"/>
      <w:pPr>
        <w:ind w:left="143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color w:val="5b9bd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color w:val="5b9bd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Ttulododocumento"/>
    <w:next w:val="Corpodotexto"/>
    <w:link w:val="Ttulo1Char"/>
    <w:qFormat w:val="1"/>
    <w:rsid w:val="003132CF"/>
    <w:pPr>
      <w:outlineLvl w:val="0"/>
    </w:pPr>
    <w:rPr>
      <w:b w:val="1"/>
      <w:bCs w:val="1"/>
      <w:color w:val="5b9bd5" w:themeColor="accent1"/>
      <w:sz w:val="36"/>
      <w:szCs w:val="36"/>
    </w:rPr>
  </w:style>
  <w:style w:type="paragraph" w:styleId="Ttulo2">
    <w:name w:val="Heading 2"/>
    <w:basedOn w:val="Ttulododocumento"/>
    <w:next w:val="Corpodotexto"/>
    <w:qFormat w:val="1"/>
    <w:pPr>
      <w:spacing w:after="120" w:before="200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Ttulododocumento"/>
    <w:next w:val="Corpodotexto"/>
    <w:qFormat w:val="1"/>
    <w:pPr>
      <w:spacing w:after="120" w:before="140"/>
      <w:outlineLvl w:val="2"/>
    </w:pPr>
    <w:rPr>
      <w:b w:val="1"/>
      <w:bCs w:val="1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Ttulododocumento"/>
    <w:next w:val="Corpodotexto"/>
    <w:qFormat w:val="1"/>
    <w:pPr>
      <w:spacing w:after="60" w:before="120"/>
      <w:outlineLvl w:val="4"/>
    </w:pPr>
    <w:rPr>
      <w:b w:val="1"/>
      <w:bCs w:val="1"/>
      <w:sz w:val="24"/>
      <w:szCs w:val="24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basedOn w:val="DefaultParagraphFont"/>
    <w:uiPriority w:val="99"/>
    <w:unhideWhenUsed w:val="1"/>
    <w:rsid w:val="00C968DE"/>
    <w:rPr>
      <w:color w:val="0563c1" w:themeColor="hyperlink"/>
      <w:u w:val="single"/>
    </w:rPr>
  </w:style>
  <w:style w:type="character" w:styleId="Vnculodendice" w:customStyle="1">
    <w:name w:val="Vínculo de índice"/>
    <w:qFormat w:val="1"/>
    <w:rPr/>
  </w:style>
  <w:style w:type="character" w:styleId="Smbolosdenumerao" w:customStyle="1">
    <w:name w:val="Símbolos de numeração"/>
    <w:qFormat w:val="1"/>
    <w:rPr/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821BC8"/>
    <w:rPr>
      <w:rFonts w:ascii="Tahoma" w:cs="Mangal" w:hAnsi="Tahoma"/>
      <w:sz w:val="16"/>
      <w:szCs w:val="14"/>
    </w:rPr>
  </w:style>
  <w:style w:type="character" w:styleId="Ttulo1Char" w:customStyle="1">
    <w:name w:val="Título 1 Char"/>
    <w:basedOn w:val="DefaultParagraphFont"/>
    <w:link w:val="Ttulo1"/>
    <w:qFormat w:val="1"/>
    <w:rsid w:val="002F48B3"/>
    <w:rPr>
      <w:rFonts w:ascii="Liberation Sans" w:cs="Lucida Sans" w:eastAsia="Microsoft YaHei" w:hAnsi="Liberation Sans"/>
      <w:b w:val="1"/>
      <w:bCs w:val="1"/>
      <w:color w:val="5b9bd5" w:themeColor="accent1"/>
      <w:sz w:val="36"/>
      <w:szCs w:val="36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/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CabealhoeRodap"/>
    <w:pPr/>
    <w:rPr/>
  </w:style>
  <w:style w:type="paragraph" w:styleId="Contedodatabela" w:customStyle="1">
    <w:name w:val="Conteúdo da tabela"/>
    <w:basedOn w:val="Normal1"/>
    <w:qFormat w:val="1"/>
    <w:pPr>
      <w:suppressLineNumbers w:val="1"/>
    </w:pPr>
    <w:rPr/>
  </w:style>
  <w:style w:type="paragraph" w:styleId="Sumrio1">
    <w:name w:val="TOC 1"/>
    <w:basedOn w:val="Ndice"/>
    <w:uiPriority w:val="39"/>
    <w:pPr>
      <w:tabs>
        <w:tab w:val="clear" w:pos="720"/>
        <w:tab w:val="right" w:leader="dot" w:pos="9638"/>
      </w:tabs>
    </w:pPr>
    <w:rPr/>
  </w:style>
  <w:style w:type="paragraph" w:styleId="Sumrio10" w:customStyle="1">
    <w:name w:val="Sumário 10"/>
    <w:basedOn w:val="Ndice"/>
    <w:qFormat w:val="1"/>
    <w:pPr>
      <w:tabs>
        <w:tab w:val="clear" w:pos="720"/>
        <w:tab w:val="right" w:leader="dot" w:pos="9638"/>
      </w:tabs>
      <w:ind w:left="2547" w:hanging="0"/>
    </w:pPr>
    <w:rPr/>
  </w:style>
  <w:style w:type="paragraph" w:styleId="Indexheading">
    <w:name w:val="index heading"/>
    <w:basedOn w:val="Ttulododocumento"/>
    <w:qFormat w:val="1"/>
    <w:pPr>
      <w:suppressLineNumbers w:val="1"/>
    </w:pPr>
    <w:rPr>
      <w:b w:val="1"/>
      <w:bCs w:val="1"/>
      <w:sz w:val="32"/>
      <w:szCs w:val="32"/>
    </w:rPr>
  </w:style>
  <w:style w:type="paragraph" w:styleId="Toaheading">
    <w:name w:val="toa heading"/>
    <w:basedOn w:val="Indexheading"/>
    <w:qFormat w:val="1"/>
    <w:pPr/>
    <w:rPr/>
  </w:style>
  <w:style w:type="paragraph" w:styleId="Sumrio2">
    <w:name w:val="TOC 2"/>
    <w:basedOn w:val="Ndice"/>
    <w:uiPriority w:val="39"/>
    <w:pPr>
      <w:tabs>
        <w:tab w:val="clear" w:pos="720"/>
        <w:tab w:val="right" w:leader="dot" w:pos="9638"/>
      </w:tabs>
      <w:ind w:left="283" w:hanging="0"/>
    </w:pPr>
    <w:rPr/>
  </w:style>
  <w:style w:type="paragraph" w:styleId="Rodap">
    <w:name w:val="Footer"/>
    <w:basedOn w:val="CabealhoeRodap"/>
    <w:pPr/>
    <w:rPr/>
  </w:style>
  <w:style w:type="paragraph" w:styleId="Sumrio3">
    <w:name w:val="TOC 3"/>
    <w:basedOn w:val="Ndice"/>
    <w:uiPriority w:val="39"/>
    <w:pPr>
      <w:tabs>
        <w:tab w:val="clear" w:pos="720"/>
        <w:tab w:val="right" w:leader="dot" w:pos="9638"/>
      </w:tabs>
      <w:ind w:left="566" w:hanging="0"/>
    </w:pPr>
    <w:rPr/>
  </w:style>
  <w:style w:type="paragraph" w:styleId="Sumrio4">
    <w:name w:val="TOC 4"/>
    <w:basedOn w:val="Ndice"/>
    <w:uiPriority w:val="39"/>
    <w:pPr>
      <w:tabs>
        <w:tab w:val="clear" w:pos="720"/>
        <w:tab w:val="right" w:leader="dot" w:pos="9638"/>
      </w:tabs>
      <w:ind w:left="849" w:hanging="0"/>
    </w:pPr>
    <w:rPr/>
  </w:style>
  <w:style w:type="paragraph" w:styleId="Sumrio8">
    <w:name w:val="TOC 8"/>
    <w:basedOn w:val="Ndice"/>
    <w:uiPriority w:val="39"/>
    <w:pPr>
      <w:tabs>
        <w:tab w:val="clear" w:pos="720"/>
        <w:tab w:val="right" w:leader="dot" w:pos="9638"/>
      </w:tabs>
      <w:ind w:left="1981" w:hanging="0"/>
    </w:pPr>
    <w:rPr/>
  </w:style>
  <w:style w:type="paragraph" w:styleId="Sumrio5">
    <w:name w:val="TOC 5"/>
    <w:basedOn w:val="Normal1"/>
    <w:next w:val="Normal1"/>
    <w:autoRedefine w:val="1"/>
    <w:uiPriority w:val="39"/>
    <w:unhideWhenUsed w:val="1"/>
    <w:rsid w:val="00C968DE"/>
    <w:pPr>
      <w:spacing w:after="100" w:before="0"/>
      <w:ind w:left="960" w:hanging="0"/>
    </w:pPr>
    <w:rPr>
      <w:rFonts w:cs="Mangal"/>
      <w:szCs w:val="21"/>
    </w:rPr>
  </w:style>
  <w:style w:type="paragraph" w:styleId="Sumrio6">
    <w:name w:val="TOC 6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10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Sumrio7">
    <w:name w:val="TOC 7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32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Sumrio9">
    <w:name w:val="TOC 9"/>
    <w:basedOn w:val="Normal1"/>
    <w:next w:val="Normal1"/>
    <w:autoRedefine w:val="1"/>
    <w:uiPriority w:val="39"/>
    <w:unhideWhenUsed w:val="1"/>
    <w:rsid w:val="00C968DE"/>
    <w:pPr>
      <w:widowControl w:val="1"/>
      <w:suppressAutoHyphens w:val="0"/>
      <w:spacing w:after="100" w:before="0" w:line="259" w:lineRule="auto"/>
      <w:ind w:left="1760" w:hanging="0"/>
    </w:pPr>
    <w:rPr>
      <w:rFonts w:ascii="Calibri" w:cs="" w:eastAsia="" w:hAnsi="Calibri" w:asciiTheme="minorHAnsi" w:cstheme="minorBidi" w:eastAsiaTheme="minorEastAsia" w:hAnsiTheme="minorHAnsi"/>
      <w:color w:val="auto"/>
      <w:sz w:val="22"/>
      <w:szCs w:val="22"/>
      <w:lang w:bidi="ar-SA" w:eastAsia="pt-BR"/>
    </w:rPr>
  </w:style>
  <w:style w:type="paragraph" w:styleId="ListParagraph">
    <w:name w:val="List Paragraph"/>
    <w:basedOn w:val="Normal1"/>
    <w:uiPriority w:val="34"/>
    <w:qFormat w:val="1"/>
    <w:rsid w:val="00474E63"/>
    <w:pPr>
      <w:spacing w:after="0" w:before="0"/>
      <w:ind w:left="720" w:hanging="0"/>
      <w:contextualSpacing w:val="1"/>
    </w:pPr>
    <w:rPr>
      <w:rFonts w:cs="Mangal"/>
      <w:szCs w:val="21"/>
    </w:rPr>
  </w:style>
  <w:style w:type="paragraph" w:styleId="BalloonText">
    <w:name w:val="Balloon Text"/>
    <w:basedOn w:val="Normal1"/>
    <w:link w:val="TextodebaloChar"/>
    <w:uiPriority w:val="99"/>
    <w:semiHidden w:val="1"/>
    <w:unhideWhenUsed w:val="1"/>
    <w:qFormat w:val="1"/>
    <w:rsid w:val="00821BC8"/>
    <w:pPr/>
    <w:rPr>
      <w:rFonts w:ascii="Tahoma" w:cs="Mangal" w:hAnsi="Tahoma"/>
      <w:sz w:val="16"/>
      <w:szCs w:val="14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5633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8pBPlhegLSZcvOCA/zY27H/cg==">AMUW2mVhn6L1lhaBWgrC3YGEzFvPaCJHEfnWvc8edaX0bQ+jY+HTEImcJ771IjKcKYEGbDZNa/Q+9eYNIKGPo7L9QVFGRnmj858IMzkqbtqBuntON9Y+1L8fFuip9L4HOiyDidNCCULSPtJL5JMq3rxY0dMiVVmlhwx4M61HdG37BoBiDoH6zS3/r4Q+/XyEiWAlifwwQAVhgfjUc+LrY5t2l1IQSok1aGGXy0Z7zHIkB9lS3926dP1jm2KqKYqYqgceUjzOUPuWRyRUomeqNqPcld9ks/CAbZZmjPdMFO5CpYsKY72y4kbV4XZmVVT689V7rWtMmXclNZlGPwqoKukfEiGrdju2uHaCVPsbRtVsPEwMvca5vsD/VqRqapeV7OD41Y/Y3Kxz/aw4StUqWiQ1kkTbO/FsDKq12btVMjDnjHVn+JKeb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2021-07-06T18:17:00Z</dcterms:created>
  <dc:creator>Marcos</dc:creator>
</cp:coreProperties>
</file>